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054D5" w:rsidRPr="00AE6EA3" w14:paraId="0C121472" w14:textId="77777777" w:rsidTr="00C868A4">
        <w:trPr>
          <w:trHeight w:hRule="exact" w:val="1418"/>
        </w:trPr>
        <w:tc>
          <w:tcPr>
            <w:tcW w:w="6804" w:type="dxa"/>
            <w:shd w:val="clear" w:color="auto" w:fill="auto"/>
            <w:vAlign w:val="center"/>
          </w:tcPr>
          <w:p w14:paraId="4DD773C9" w14:textId="77777777" w:rsidR="00E054D5" w:rsidRPr="00AE6EA3" w:rsidRDefault="00AE6EA3" w:rsidP="00C868A4">
            <w:pPr>
              <w:pStyle w:val="EPName"/>
              <w:rPr>
                <w:lang w:val="en-GB"/>
              </w:rPr>
            </w:pPr>
            <w:r w:rsidRPr="00AE6EA3">
              <w:rPr>
                <w:lang w:val="en-GB"/>
              </w:rPr>
              <w:t>European Parliament</w:t>
            </w:r>
          </w:p>
          <w:p w14:paraId="5D81C6D3" w14:textId="77777777" w:rsidR="00E054D5" w:rsidRPr="006E6768" w:rsidRDefault="006E6768" w:rsidP="006E6768">
            <w:pPr>
              <w:pStyle w:val="EPTerm"/>
              <w:rPr>
                <w:rStyle w:val="HideTWBExt"/>
                <w:noProof w:val="0"/>
                <w:vanish w:val="0"/>
                <w:color w:val="auto"/>
                <w:lang w:val="en-GB"/>
              </w:rPr>
            </w:pPr>
            <w:r>
              <w:t>2014-2019</w:t>
            </w:r>
          </w:p>
        </w:tc>
        <w:tc>
          <w:tcPr>
            <w:tcW w:w="2268" w:type="dxa"/>
            <w:shd w:val="clear" w:color="auto" w:fill="auto"/>
          </w:tcPr>
          <w:p w14:paraId="56B58091" w14:textId="1BAE3C1F" w:rsidR="00E054D5" w:rsidRPr="00AE6EA3" w:rsidRDefault="00EE52E5" w:rsidP="00C868A4">
            <w:pPr>
              <w:pStyle w:val="EPLogo"/>
            </w:pPr>
            <w:r>
              <w:rPr>
                <w:noProof/>
              </w:rPr>
              <w:drawing>
                <wp:inline distT="0" distB="0" distL="0" distR="0" wp14:anchorId="612E57E4" wp14:editId="3DCDCFEB">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CA6FDC1" w14:textId="77777777" w:rsidR="0089074B" w:rsidRPr="00AE6EA3" w:rsidRDefault="0089074B" w:rsidP="0089074B">
      <w:pPr>
        <w:pStyle w:val="LineTop"/>
        <w:rPr>
          <w:lang w:val="en-GB"/>
        </w:rPr>
      </w:pPr>
    </w:p>
    <w:p w14:paraId="1D61B2A0" w14:textId="77777777" w:rsidR="0089074B" w:rsidRPr="00AE6EA3" w:rsidRDefault="006E6768" w:rsidP="0089074B">
      <w:pPr>
        <w:pStyle w:val="ZSessionDoc"/>
      </w:pPr>
      <w:r>
        <w:t>Plenary sitting</w:t>
      </w:r>
    </w:p>
    <w:p w14:paraId="480E71FA" w14:textId="77777777" w:rsidR="002C0ACF" w:rsidRPr="00AE6EA3" w:rsidRDefault="002C0ACF" w:rsidP="002C0ACF">
      <w:pPr>
        <w:pStyle w:val="LineBottom"/>
      </w:pPr>
    </w:p>
    <w:p w14:paraId="6D375318" w14:textId="77777777" w:rsidR="002C0ACF" w:rsidRPr="00AE6EA3" w:rsidRDefault="002C0ACF" w:rsidP="002C0ACF">
      <w:pPr>
        <w:pStyle w:val="RefProc"/>
      </w:pPr>
      <w:r w:rsidRPr="00AE6EA3">
        <w:rPr>
          <w:rStyle w:val="HideTWBExt"/>
          <w:b w:val="0"/>
          <w:noProof w:val="0"/>
        </w:rPr>
        <w:t>&lt;NoDocSe&gt;</w:t>
      </w:r>
      <w:r w:rsidR="006E6768">
        <w:t>B8</w:t>
      </w:r>
      <w:r w:rsidR="006E6768">
        <w:noBreakHyphen/>
        <w:t>0000/2016</w:t>
      </w:r>
      <w:r w:rsidRPr="00AE6EA3">
        <w:rPr>
          <w:rStyle w:val="HideTWBExt"/>
          <w:b w:val="0"/>
          <w:noProof w:val="0"/>
        </w:rPr>
        <w:t>&lt;/NoDocSe&gt;</w:t>
      </w:r>
    </w:p>
    <w:p w14:paraId="7E7BA04C" w14:textId="77777777" w:rsidR="002C0ACF" w:rsidRPr="00AE6EA3" w:rsidRDefault="002C0ACF" w:rsidP="002C0ACF">
      <w:pPr>
        <w:pStyle w:val="ZDate"/>
      </w:pPr>
      <w:r w:rsidRPr="00AE6EA3">
        <w:rPr>
          <w:rStyle w:val="HideTWBExt"/>
          <w:noProof w:val="0"/>
        </w:rPr>
        <w:t>&lt;Date&gt;</w:t>
      </w:r>
      <w:r w:rsidR="006E6768" w:rsidRPr="006E6768">
        <w:rPr>
          <w:rStyle w:val="HideTWBInt"/>
        </w:rPr>
        <w:t>{26/09/2016}</w:t>
      </w:r>
      <w:r w:rsidR="006E6768">
        <w:t>26.9.2016</w:t>
      </w:r>
      <w:r w:rsidRPr="00AE6EA3">
        <w:rPr>
          <w:rStyle w:val="HideTWBExt"/>
          <w:noProof w:val="0"/>
        </w:rPr>
        <w:t>&lt;/Date&gt;</w:t>
      </w:r>
    </w:p>
    <w:p w14:paraId="67C1890E" w14:textId="77777777" w:rsidR="004D339E" w:rsidRPr="00AE6EA3" w:rsidRDefault="004D339E">
      <w:pPr>
        <w:pStyle w:val="TypeDoc"/>
      </w:pPr>
      <w:r w:rsidRPr="00AE6EA3">
        <w:rPr>
          <w:rStyle w:val="HideTWBExt"/>
          <w:b w:val="0"/>
          <w:noProof w:val="0"/>
        </w:rPr>
        <w:t>&lt;TitreType&gt;</w:t>
      </w:r>
      <w:r w:rsidR="006E6768">
        <w:t>MOTION FOR A RESOLUTION</w:t>
      </w:r>
      <w:r w:rsidRPr="00AE6EA3">
        <w:rPr>
          <w:rStyle w:val="HideTWBExt"/>
          <w:b w:val="0"/>
          <w:noProof w:val="0"/>
        </w:rPr>
        <w:t>&lt;/TitreType&gt;</w:t>
      </w:r>
    </w:p>
    <w:p w14:paraId="06B3CB43" w14:textId="77777777" w:rsidR="004D339E" w:rsidRPr="00AE6EA3" w:rsidRDefault="004D339E">
      <w:pPr>
        <w:pStyle w:val="Cover12"/>
      </w:pPr>
      <w:r w:rsidRPr="00AE6EA3">
        <w:rPr>
          <w:rStyle w:val="HideTWBExt"/>
          <w:noProof w:val="0"/>
        </w:rPr>
        <w:t>&lt;TitreSuite&gt;</w:t>
      </w:r>
      <w:r w:rsidR="00AE6EA3" w:rsidRPr="00AE6EA3">
        <w:t xml:space="preserve">further to </w:t>
      </w:r>
      <w:r w:rsidR="006E6768">
        <w:t>Question for Oral Answer B8</w:t>
      </w:r>
      <w:r w:rsidR="006E6768">
        <w:noBreakHyphen/>
        <w:t>0000/2016</w:t>
      </w:r>
      <w:r w:rsidRPr="00AE6EA3">
        <w:rPr>
          <w:rStyle w:val="HideTWBExt"/>
          <w:noProof w:val="0"/>
        </w:rPr>
        <w:t>&lt;/TitreSuite&gt;</w:t>
      </w:r>
    </w:p>
    <w:p w14:paraId="3A896F67" w14:textId="77777777" w:rsidR="004D339E" w:rsidRPr="00AE6EA3" w:rsidRDefault="004D339E">
      <w:pPr>
        <w:pStyle w:val="Cover12"/>
      </w:pPr>
      <w:r w:rsidRPr="00AE6EA3">
        <w:rPr>
          <w:rStyle w:val="HideTWBExt"/>
          <w:noProof w:val="0"/>
        </w:rPr>
        <w:t>&lt;TitreRecueil&gt;</w:t>
      </w:r>
      <w:r w:rsidR="00AE6EA3" w:rsidRPr="00AE6EA3">
        <w:t>pursuant to Rule 128(5) of the Rules of Procedure</w:t>
      </w:r>
      <w:r w:rsidRPr="00AE6EA3">
        <w:rPr>
          <w:rStyle w:val="HideTWBExt"/>
          <w:noProof w:val="0"/>
        </w:rPr>
        <w:t>&lt;/TitreRecueil&gt;</w:t>
      </w:r>
    </w:p>
    <w:p w14:paraId="4583A6BF" w14:textId="02CF92A6" w:rsidR="00450DDD" w:rsidRPr="006E6768" w:rsidRDefault="00450DDD" w:rsidP="00450DDD">
      <w:pPr>
        <w:pStyle w:val="CoverNormal"/>
      </w:pPr>
      <w:r w:rsidRPr="006E6768">
        <w:rPr>
          <w:rStyle w:val="HideTWBExt"/>
          <w:noProof w:val="0"/>
        </w:rPr>
        <w:t>&lt;Titre&gt;</w:t>
      </w:r>
      <w:r w:rsidR="00AE6EA3" w:rsidRPr="006E6768">
        <w:t xml:space="preserve">on </w:t>
      </w:r>
      <w:r w:rsidR="00E331FD">
        <w:t>the Finalisation of Basel III</w:t>
      </w:r>
      <w:r w:rsidRPr="006E6768">
        <w:rPr>
          <w:rStyle w:val="HideTWBExt"/>
          <w:noProof w:val="0"/>
        </w:rPr>
        <w:t>&lt;/Titre&gt;</w:t>
      </w:r>
    </w:p>
    <w:p w14:paraId="66A0CF8A" w14:textId="1FE1EBCE" w:rsidR="00450DDD" w:rsidRPr="006E6768" w:rsidRDefault="00450DDD" w:rsidP="00450DDD">
      <w:pPr>
        <w:pStyle w:val="Cover24"/>
      </w:pPr>
      <w:r w:rsidRPr="006E6768">
        <w:rPr>
          <w:rStyle w:val="HideTWBExt"/>
          <w:noProof w:val="0"/>
        </w:rPr>
        <w:t>&lt;DocRef&gt;</w:t>
      </w:r>
      <w:r w:rsidR="00AE6EA3" w:rsidRPr="006E6768">
        <w:t>(</w:t>
      </w:r>
      <w:r w:rsidR="006E6768" w:rsidRPr="00E331FD">
        <w:rPr>
          <w:highlight w:val="yellow"/>
        </w:rPr>
        <w:t>2016/</w:t>
      </w:r>
      <w:r w:rsidR="00E331FD">
        <w:rPr>
          <w:highlight w:val="yellow"/>
        </w:rPr>
        <w:t>yyyy</w:t>
      </w:r>
      <w:r w:rsidR="00AE6EA3" w:rsidRPr="00E331FD">
        <w:rPr>
          <w:highlight w:val="yellow"/>
        </w:rPr>
        <w:t>(RSP</w:t>
      </w:r>
      <w:r w:rsidR="00AE6EA3" w:rsidRPr="006E6768">
        <w:t>))</w:t>
      </w:r>
      <w:r w:rsidRPr="006E6768">
        <w:rPr>
          <w:rStyle w:val="HideTWBExt"/>
          <w:noProof w:val="0"/>
        </w:rPr>
        <w:t>&lt;/DocRef&gt;</w:t>
      </w:r>
    </w:p>
    <w:p w14:paraId="4246DF63" w14:textId="77777777" w:rsidR="00507541" w:rsidRPr="00AE6EA3" w:rsidRDefault="00507541" w:rsidP="00507541">
      <w:pPr>
        <w:pStyle w:val="CoverBold"/>
      </w:pPr>
      <w:r w:rsidRPr="00AE6EA3">
        <w:rPr>
          <w:rStyle w:val="HideTWBExt"/>
          <w:b w:val="0"/>
          <w:noProof w:val="0"/>
        </w:rPr>
        <w:t>&lt;RepeatBlock-By&gt;&lt;</w:t>
      </w:r>
      <w:r w:rsidR="009105E3" w:rsidRPr="00AE6EA3">
        <w:rPr>
          <w:rStyle w:val="HideTWBExt"/>
          <w:b w:val="0"/>
          <w:noProof w:val="0"/>
        </w:rPr>
        <w:t>Depute</w:t>
      </w:r>
      <w:r w:rsidRPr="00AE6EA3">
        <w:rPr>
          <w:rStyle w:val="HideTWBExt"/>
          <w:b w:val="0"/>
          <w:noProof w:val="0"/>
        </w:rPr>
        <w:t>&gt;</w:t>
      </w:r>
      <w:r w:rsidR="006E6768">
        <w:t>Roberto Gualtieri</w:t>
      </w:r>
      <w:r w:rsidRPr="00AE6EA3">
        <w:rPr>
          <w:rStyle w:val="HideTWBExt"/>
          <w:b w:val="0"/>
          <w:noProof w:val="0"/>
        </w:rPr>
        <w:t>&lt;/</w:t>
      </w:r>
      <w:r w:rsidR="009105E3" w:rsidRPr="00AE6EA3">
        <w:rPr>
          <w:rStyle w:val="HideTWBExt"/>
          <w:b w:val="0"/>
          <w:noProof w:val="0"/>
        </w:rPr>
        <w:t>Depute</w:t>
      </w:r>
      <w:r w:rsidRPr="00AE6EA3">
        <w:rPr>
          <w:rStyle w:val="HideTWBExt"/>
          <w:b w:val="0"/>
          <w:noProof w:val="0"/>
        </w:rPr>
        <w:t>&gt;</w:t>
      </w:r>
    </w:p>
    <w:p w14:paraId="33F4B547" w14:textId="77777777" w:rsidR="00507541" w:rsidRPr="00AE6EA3" w:rsidRDefault="00507541" w:rsidP="00507541">
      <w:pPr>
        <w:pStyle w:val="CoverNormal"/>
      </w:pPr>
      <w:r w:rsidRPr="00AE6EA3">
        <w:rPr>
          <w:rStyle w:val="HideTWBExt"/>
          <w:noProof w:val="0"/>
        </w:rPr>
        <w:t>&lt;</w:t>
      </w:r>
      <w:r w:rsidR="009105E3" w:rsidRPr="00AE6EA3">
        <w:rPr>
          <w:rStyle w:val="HideTWBExt"/>
          <w:noProof w:val="0"/>
        </w:rPr>
        <w:t>Commission</w:t>
      </w:r>
      <w:r w:rsidRPr="00AE6EA3">
        <w:rPr>
          <w:rStyle w:val="HideTWBExt"/>
          <w:noProof w:val="0"/>
        </w:rPr>
        <w:t>&gt;</w:t>
      </w:r>
      <w:r w:rsidR="006E6768" w:rsidRPr="006E6768">
        <w:rPr>
          <w:rStyle w:val="HideTWBInt"/>
        </w:rPr>
        <w:t>{ECON}</w:t>
      </w:r>
      <w:r w:rsidR="006E6768">
        <w:t>on behalf of the Committee on Economic and Monetary Affairs</w:t>
      </w:r>
      <w:r w:rsidR="009105E3" w:rsidRPr="00AE6EA3">
        <w:rPr>
          <w:rStyle w:val="HideTWBExt"/>
          <w:noProof w:val="0"/>
        </w:rPr>
        <w:t>&lt;/Commission</w:t>
      </w:r>
      <w:r w:rsidRPr="00AE6EA3">
        <w:rPr>
          <w:rStyle w:val="HideTWBExt"/>
          <w:noProof w:val="0"/>
        </w:rPr>
        <w:t>&gt;</w:t>
      </w:r>
    </w:p>
    <w:p w14:paraId="4DDB363D" w14:textId="77777777" w:rsidR="00507541" w:rsidRPr="00AE6EA3" w:rsidRDefault="00507541" w:rsidP="00507541">
      <w:pPr>
        <w:pStyle w:val="CoverNormal"/>
      </w:pPr>
      <w:r w:rsidRPr="00AE6EA3">
        <w:rPr>
          <w:rStyle w:val="HideTWBExt"/>
          <w:noProof w:val="0"/>
        </w:rPr>
        <w:t>&lt;/RepeatBlock-By&gt;</w:t>
      </w:r>
    </w:p>
    <w:p w14:paraId="6DBCAD01" w14:textId="77777777" w:rsidR="004D339E" w:rsidRPr="00AE6EA3" w:rsidRDefault="004D339E">
      <w:pPr>
        <w:pStyle w:val="Normal12Bold"/>
      </w:pPr>
      <w:r w:rsidRPr="00AE6EA3">
        <w:br w:type="page"/>
      </w:r>
      <w:r w:rsidR="006E6768">
        <w:lastRenderedPageBreak/>
        <w:t>B8</w:t>
      </w:r>
      <w:r w:rsidR="006E6768">
        <w:noBreakHyphen/>
      </w:r>
      <w:r w:rsidR="006E6768" w:rsidRPr="006E6768">
        <w:t>0000/2016</w:t>
      </w:r>
    </w:p>
    <w:p w14:paraId="7A460050" w14:textId="1EBFF870" w:rsidR="00450DDD" w:rsidRPr="00AE6EA3" w:rsidRDefault="00AE6EA3" w:rsidP="00450DDD">
      <w:pPr>
        <w:pStyle w:val="NormalBold"/>
      </w:pPr>
      <w:r w:rsidRPr="00AE6EA3">
        <w:t xml:space="preserve">European Parliament resolution on </w:t>
      </w:r>
      <w:r w:rsidR="001A3184">
        <w:t>the finalisation of Basel III</w:t>
      </w:r>
    </w:p>
    <w:p w14:paraId="6A86EE21" w14:textId="0CDFF491" w:rsidR="00450DDD" w:rsidRPr="00AE6EA3" w:rsidRDefault="00AE6EA3" w:rsidP="00450DDD">
      <w:pPr>
        <w:pStyle w:val="Normal24Bold"/>
      </w:pPr>
      <w:r w:rsidRPr="00AE6EA3">
        <w:t>(</w:t>
      </w:r>
      <w:r w:rsidR="006E6768" w:rsidRPr="006E6768">
        <w:t>2016/</w:t>
      </w:r>
      <w:r w:rsidR="00E331FD">
        <w:t>yyyy(</w:t>
      </w:r>
      <w:r w:rsidRPr="00AE6EA3">
        <w:t>RSP))</w:t>
      </w:r>
    </w:p>
    <w:p w14:paraId="556A4593" w14:textId="77777777" w:rsidR="00AC07EC" w:rsidRPr="00AC07EC" w:rsidRDefault="00AC07EC" w:rsidP="00AC07EC">
      <w:pPr>
        <w:spacing w:after="240"/>
      </w:pPr>
      <w:r w:rsidRPr="00AC07EC">
        <w:rPr>
          <w:i/>
        </w:rPr>
        <w:t>The European Parliament</w:t>
      </w:r>
      <w:r w:rsidRPr="00AC07EC">
        <w:t>,</w:t>
      </w:r>
    </w:p>
    <w:p w14:paraId="646FC835" w14:textId="71E30DCA" w:rsidR="00817C7C" w:rsidRDefault="00817C7C" w:rsidP="00AC07EC">
      <w:pPr>
        <w:spacing w:after="240"/>
        <w:ind w:left="567" w:hanging="567"/>
      </w:pPr>
      <w:r w:rsidRPr="00AC07EC">
        <w:t>–</w:t>
      </w:r>
      <w:r w:rsidRPr="00AC07EC">
        <w:tab/>
        <w:t>having regard to</w:t>
      </w:r>
      <w:r w:rsidR="00A51317">
        <w:t xml:space="preserve"> post-crisis conclusions of the </w:t>
      </w:r>
      <w:r>
        <w:t>G20</w:t>
      </w:r>
      <w:r w:rsidR="00A51317">
        <w:t xml:space="preserve"> Summit</w:t>
      </w:r>
      <w:r w:rsidR="00791A21">
        <w:t>s,</w:t>
      </w:r>
    </w:p>
    <w:p w14:paraId="61171CCE" w14:textId="2E94F585" w:rsidR="00A51317" w:rsidRDefault="00A51317" w:rsidP="00A51317">
      <w:pPr>
        <w:spacing w:after="240"/>
        <w:ind w:left="567" w:hanging="567"/>
      </w:pPr>
      <w:r w:rsidRPr="00AC07EC">
        <w:t>–</w:t>
      </w:r>
      <w:r w:rsidRPr="00AC07EC">
        <w:tab/>
      </w:r>
      <w:r>
        <w:t>having regard to the Basel Committee on Banking Supervision (BCBS) reports to G20 leaders updating on the implementation of the agreed reform agenda, in particular to the BCBS report of November 2015 to G20 leaders on ‘Finalising post-crisis reforms: an update’</w:t>
      </w:r>
      <w:r>
        <w:rPr>
          <w:rStyle w:val="FootnoteReference"/>
        </w:rPr>
        <w:footnoteReference w:id="1"/>
      </w:r>
      <w:r>
        <w:t xml:space="preserve">, </w:t>
      </w:r>
    </w:p>
    <w:p w14:paraId="367BDCBA" w14:textId="0203A59D" w:rsidR="008F3277" w:rsidRDefault="008F3277" w:rsidP="00A51317">
      <w:pPr>
        <w:spacing w:after="240"/>
        <w:ind w:left="567" w:hanging="567"/>
      </w:pPr>
      <w:r w:rsidRPr="00AC07EC">
        <w:t>–</w:t>
      </w:r>
      <w:r>
        <w:tab/>
        <w:t>having regard to the BCBS consultative documents on ‘revision</w:t>
      </w:r>
      <w:r w:rsidR="00810E12">
        <w:t>s to the Basel III leverage ratio framework’ of 6 April 2016, on ‘reducing variation in credit risk-weighted assets - constraints on the use of internal model approaches’ of 24 March 2016, and on ‘revisions to the Standardised Approach for credit risk’ of 10 December 2015,</w:t>
      </w:r>
    </w:p>
    <w:p w14:paraId="618C5EA0" w14:textId="323A4603" w:rsidR="00A51317" w:rsidRDefault="00EE318F" w:rsidP="00AC07EC">
      <w:pPr>
        <w:spacing w:after="240"/>
        <w:ind w:left="567" w:hanging="567"/>
      </w:pPr>
      <w:r w:rsidRPr="00AC07EC">
        <w:t>–</w:t>
      </w:r>
      <w:r w:rsidRPr="00AC07EC">
        <w:tab/>
      </w:r>
      <w:r>
        <w:t xml:space="preserve">having regard to the BCBS discussion paper and consultative document on ‘Regulatory treatment of accounting provisions’ of October 2016, </w:t>
      </w:r>
    </w:p>
    <w:p w14:paraId="178E7489" w14:textId="6E7D6644" w:rsidR="00EE318F" w:rsidRDefault="00EE318F" w:rsidP="00AC07EC">
      <w:pPr>
        <w:spacing w:after="240"/>
        <w:ind w:left="567" w:hanging="567"/>
      </w:pPr>
      <w:r w:rsidRPr="00AC07EC">
        <w:t>–</w:t>
      </w:r>
      <w:r w:rsidRPr="00AC07EC">
        <w:tab/>
      </w:r>
      <w:r>
        <w:t>having regard to the BCBS standard for ‘TLAC holdings - Amendments to the Basel III standard on the definition of capital’ of October 2016</w:t>
      </w:r>
      <w:r>
        <w:rPr>
          <w:rStyle w:val="FootnoteReference"/>
        </w:rPr>
        <w:footnoteReference w:id="2"/>
      </w:r>
      <w:r>
        <w:t xml:space="preserve">, </w:t>
      </w:r>
    </w:p>
    <w:p w14:paraId="36A78FC0" w14:textId="2F02A197" w:rsidR="004C232D" w:rsidRDefault="004C232D" w:rsidP="00AC07EC">
      <w:pPr>
        <w:spacing w:after="240"/>
        <w:ind w:left="567" w:hanging="567"/>
      </w:pPr>
      <w:r w:rsidRPr="00AC07EC">
        <w:t>–</w:t>
      </w:r>
      <w:r w:rsidRPr="00AC07EC">
        <w:tab/>
      </w:r>
      <w:r>
        <w:t>having regard to the Council Conclusions of 12 July 2016 on ‘Finalizing the post crisis Basel reforms’</w:t>
      </w:r>
      <w:r>
        <w:rPr>
          <w:rStyle w:val="FootnoteReference"/>
        </w:rPr>
        <w:footnoteReference w:id="3"/>
      </w:r>
      <w:r>
        <w:t xml:space="preserve">, </w:t>
      </w:r>
    </w:p>
    <w:p w14:paraId="49FA02FA" w14:textId="7B67B765" w:rsidR="005360FE" w:rsidRDefault="00AC07EC" w:rsidP="00AC07EC">
      <w:pPr>
        <w:spacing w:after="240"/>
        <w:ind w:left="567" w:hanging="567"/>
      </w:pPr>
      <w:r w:rsidRPr="00AC07EC">
        <w:t>–</w:t>
      </w:r>
      <w:r w:rsidRPr="00AC07EC">
        <w:tab/>
      </w:r>
      <w:r w:rsidR="005360FE" w:rsidRPr="00AC07EC">
        <w:t>having regard to its resolution</w:t>
      </w:r>
      <w:r w:rsidR="005360FE">
        <w:t xml:space="preserve"> of </w:t>
      </w:r>
      <w:r w:rsidR="005360FE" w:rsidRPr="005360FE">
        <w:t>10 March 2016 on the Banking Union – Annual Report 2015</w:t>
      </w:r>
      <w:r w:rsidR="005360FE">
        <w:rPr>
          <w:rStyle w:val="FootnoteReference"/>
        </w:rPr>
        <w:footnoteReference w:id="4"/>
      </w:r>
      <w:r w:rsidR="005360FE">
        <w:t>,</w:t>
      </w:r>
    </w:p>
    <w:p w14:paraId="577D6E2D" w14:textId="0E465B50" w:rsidR="005360FE" w:rsidRDefault="005360FE" w:rsidP="00AC07EC">
      <w:pPr>
        <w:spacing w:after="240"/>
        <w:ind w:left="567" w:hanging="567"/>
      </w:pPr>
      <w:r>
        <w:t>–</w:t>
      </w:r>
      <w:r>
        <w:tab/>
      </w:r>
      <w:r w:rsidRPr="005360FE">
        <w:t>having regard to its resolution of 19 January 2016 on ‘Stocktaking and challenges of the EU Financial Services Regulation: impact and the way forward towards a more efficient and effective EU framework for financial regulation and a capital markets union’</w:t>
      </w:r>
      <w:r>
        <w:rPr>
          <w:rStyle w:val="FootnoteReference"/>
        </w:rPr>
        <w:footnoteReference w:id="5"/>
      </w:r>
      <w:r>
        <w:t>,</w:t>
      </w:r>
    </w:p>
    <w:p w14:paraId="23B369F1" w14:textId="2A1375DF" w:rsidR="005360FE" w:rsidRDefault="005360FE" w:rsidP="00AC07EC">
      <w:pPr>
        <w:spacing w:after="240"/>
        <w:ind w:left="567" w:hanging="567"/>
      </w:pPr>
      <w:r w:rsidRPr="00AC07EC">
        <w:t>–</w:t>
      </w:r>
      <w:r w:rsidRPr="00AC07EC">
        <w:tab/>
      </w:r>
      <w:r>
        <w:t>having regard to its</w:t>
      </w:r>
      <w:r w:rsidRPr="005360FE">
        <w:t xml:space="preserve"> resolution of 12 April 2016 on the EU role in the framework of international financial, monetary and regulatory institutions and bodies</w:t>
      </w:r>
      <w:r>
        <w:rPr>
          <w:rStyle w:val="FootnoteReference"/>
        </w:rPr>
        <w:footnoteReference w:id="6"/>
      </w:r>
      <w:r>
        <w:t xml:space="preserve">, </w:t>
      </w:r>
    </w:p>
    <w:p w14:paraId="2C39CC9E" w14:textId="4B4E2B80" w:rsidR="009857DF" w:rsidRPr="001A3184" w:rsidRDefault="00EE318F" w:rsidP="00AC07EC">
      <w:pPr>
        <w:spacing w:after="240"/>
        <w:ind w:left="567" w:hanging="567"/>
        <w:rPr>
          <w:highlight w:val="green"/>
        </w:rPr>
      </w:pPr>
      <w:r w:rsidRPr="00AC07EC">
        <w:t>–</w:t>
      </w:r>
      <w:r w:rsidRPr="00AC07EC">
        <w:tab/>
      </w:r>
      <w:r w:rsidRPr="000566E3">
        <w:t xml:space="preserve">having regard to the research paper </w:t>
      </w:r>
      <w:r w:rsidR="00791A21" w:rsidRPr="000566E3">
        <w:t>f</w:t>
      </w:r>
      <w:r w:rsidRPr="000566E3">
        <w:t>or its Committee on Economic and Monetary Affairs on ‘</w:t>
      </w:r>
      <w:r w:rsidR="009857DF" w:rsidRPr="000566E3">
        <w:t>The European Union’s role in International Economi</w:t>
      </w:r>
      <w:r w:rsidRPr="000566E3">
        <w:t>c</w:t>
      </w:r>
      <w:r w:rsidR="009857DF" w:rsidRPr="000566E3">
        <w:t xml:space="preserve"> Fora, Paper 5: The BCBS</w:t>
      </w:r>
      <w:r w:rsidRPr="000566E3">
        <w:t>’</w:t>
      </w:r>
      <w:r w:rsidR="009857DF" w:rsidRPr="000566E3">
        <w:t>;</w:t>
      </w:r>
    </w:p>
    <w:p w14:paraId="74DA880D" w14:textId="47CD9391" w:rsidR="00AC07EC" w:rsidRPr="00AC07EC" w:rsidRDefault="00AC07EC" w:rsidP="00AC07EC">
      <w:pPr>
        <w:spacing w:after="240"/>
        <w:ind w:left="567" w:hanging="567"/>
      </w:pPr>
      <w:r w:rsidRPr="00AC07EC">
        <w:lastRenderedPageBreak/>
        <w:t>–</w:t>
      </w:r>
      <w:r w:rsidRPr="00AC07EC">
        <w:tab/>
        <w:t xml:space="preserve">having regard to the question to the Commission on </w:t>
      </w:r>
      <w:r w:rsidR="00FA73AD">
        <w:t>the finalisation of Basel III</w:t>
      </w:r>
      <w:r w:rsidRPr="00AC07EC">
        <w:t xml:space="preserve"> (</w:t>
      </w:r>
      <w:r w:rsidRPr="005360FE">
        <w:rPr>
          <w:highlight w:val="yellow"/>
        </w:rPr>
        <w:t>O-000000/2016 – B8</w:t>
      </w:r>
      <w:r w:rsidRPr="005360FE">
        <w:rPr>
          <w:highlight w:val="yellow"/>
        </w:rPr>
        <w:noBreakHyphen/>
        <w:t>0000/2016)</w:t>
      </w:r>
      <w:r w:rsidRPr="00AC07EC">
        <w:t>,</w:t>
      </w:r>
    </w:p>
    <w:p w14:paraId="7EA25A79" w14:textId="77777777" w:rsidR="00AC07EC" w:rsidRPr="00AC07EC" w:rsidRDefault="00AC07EC" w:rsidP="00AC07EC">
      <w:pPr>
        <w:spacing w:after="240"/>
        <w:ind w:left="567" w:hanging="567"/>
      </w:pPr>
      <w:r w:rsidRPr="00AC07EC">
        <w:t>–</w:t>
      </w:r>
      <w:r w:rsidRPr="00AC07EC">
        <w:tab/>
      </w:r>
      <w:r w:rsidRPr="000566E3">
        <w:t>having regard to the motion for a resolution of the Committee on Economic and Monetary Affairs,</w:t>
      </w:r>
    </w:p>
    <w:p w14:paraId="3575C89F" w14:textId="77777777" w:rsidR="00AC07EC" w:rsidRDefault="00AC07EC" w:rsidP="00AC07EC">
      <w:pPr>
        <w:spacing w:after="240"/>
        <w:ind w:left="567" w:hanging="567"/>
      </w:pPr>
      <w:r w:rsidRPr="00AC07EC">
        <w:t>–</w:t>
      </w:r>
      <w:r w:rsidRPr="00AC07EC">
        <w:tab/>
        <w:t>having regard to Rules 128(5) and 123(2) of its Rules of Procedure,</w:t>
      </w:r>
    </w:p>
    <w:p w14:paraId="6CA6A8EE" w14:textId="75DD6C71" w:rsidR="00B34B59" w:rsidRDefault="00791A21" w:rsidP="00AC07EC">
      <w:pPr>
        <w:spacing w:after="240"/>
        <w:ind w:left="567" w:hanging="567"/>
      </w:pPr>
      <w:r>
        <w:t>A</w:t>
      </w:r>
      <w:r w:rsidR="00B34B59" w:rsidRPr="00AC07EC">
        <w:t>.</w:t>
      </w:r>
      <w:r w:rsidR="00B34B59" w:rsidRPr="00AC07EC">
        <w:tab/>
      </w:r>
      <w:r w:rsidR="00B34B59">
        <w:t xml:space="preserve">whereas a </w:t>
      </w:r>
      <w:r w:rsidR="00FD7A24">
        <w:t>resilient</w:t>
      </w:r>
      <w:r w:rsidR="00B34B59">
        <w:t xml:space="preserve"> and </w:t>
      </w:r>
      <w:r w:rsidR="00FA73AD">
        <w:t>well capitalised</w:t>
      </w:r>
      <w:r w:rsidR="00B34B59">
        <w:t xml:space="preserve"> banking system is a prerequisite for</w:t>
      </w:r>
      <w:r w:rsidR="00FD7A24">
        <w:t xml:space="preserve"> preserving financial stability,</w:t>
      </w:r>
      <w:r w:rsidR="00B34B59">
        <w:t xml:space="preserve"> restoring lending to the real economy and</w:t>
      </w:r>
      <w:r w:rsidR="00FD7A24">
        <w:t xml:space="preserve"> ensuring</w:t>
      </w:r>
      <w:r w:rsidR="00B34B59">
        <w:t xml:space="preserve"> </w:t>
      </w:r>
      <w:r w:rsidR="00B13E6F">
        <w:t>economic</w:t>
      </w:r>
      <w:r w:rsidR="00FA73AD">
        <w:t xml:space="preserve"> growth</w:t>
      </w:r>
      <w:r w:rsidR="00FD7A24">
        <w:t>;</w:t>
      </w:r>
    </w:p>
    <w:p w14:paraId="1B3DEDE4" w14:textId="1790250F" w:rsidR="00A51317" w:rsidRDefault="00791A21" w:rsidP="00AC07EC">
      <w:pPr>
        <w:spacing w:after="240"/>
        <w:ind w:left="567" w:hanging="567"/>
      </w:pPr>
      <w:r>
        <w:t>B</w:t>
      </w:r>
      <w:r w:rsidR="00A51317" w:rsidRPr="00AC07EC">
        <w:t>.</w:t>
      </w:r>
      <w:r w:rsidR="00A51317" w:rsidRPr="00AC07EC">
        <w:tab/>
      </w:r>
      <w:r w:rsidR="00A51317">
        <w:t>whereas the G20 leaders agreed in the aftermath of the financial crisis to a comprehensive reform agenda strengthening the regulatory standards of international banks</w:t>
      </w:r>
      <w:r>
        <w:t xml:space="preserve"> </w:t>
      </w:r>
      <w:r w:rsidR="00A51317">
        <w:t>includ</w:t>
      </w:r>
      <w:r>
        <w:t>ing</w:t>
      </w:r>
      <w:r w:rsidR="00A51317">
        <w:t xml:space="preserve"> </w:t>
      </w:r>
      <w:r w:rsidR="001A3184">
        <w:t xml:space="preserve">the </w:t>
      </w:r>
      <w:r w:rsidR="00A51317">
        <w:t>strengthening of prudential requirements;</w:t>
      </w:r>
    </w:p>
    <w:p w14:paraId="029E4E90" w14:textId="5ED724E2" w:rsidR="00AC07EC" w:rsidRDefault="00791A21" w:rsidP="00AC07EC">
      <w:pPr>
        <w:spacing w:after="240"/>
        <w:ind w:left="567" w:hanging="567"/>
      </w:pPr>
      <w:r>
        <w:t>C</w:t>
      </w:r>
      <w:r w:rsidR="00AC07EC" w:rsidRPr="00AC07EC">
        <w:t>.</w:t>
      </w:r>
      <w:r w:rsidR="00AC07EC" w:rsidRPr="00AC07EC">
        <w:tab/>
      </w:r>
      <w:r w:rsidR="00AA4366">
        <w:t xml:space="preserve">whereas the BCBS </w:t>
      </w:r>
      <w:r w:rsidR="00FD7A24">
        <w:t xml:space="preserve">is developing </w:t>
      </w:r>
      <w:r w:rsidR="00AA4366" w:rsidRPr="00FD7A24">
        <w:t>international</w:t>
      </w:r>
      <w:r w:rsidR="00D0148F" w:rsidRPr="00FD7A24">
        <w:t>ly</w:t>
      </w:r>
      <w:r w:rsidR="00AA4366" w:rsidRPr="00FD7A24">
        <w:t xml:space="preserve"> a</w:t>
      </w:r>
      <w:r w:rsidR="00AA4366">
        <w:t>greed</w:t>
      </w:r>
      <w:r w:rsidR="00FD7A24">
        <w:t xml:space="preserve"> minimum</w:t>
      </w:r>
      <w:r w:rsidR="00AA4366">
        <w:t xml:space="preserve"> standards for prudential requirements for banks</w:t>
      </w:r>
      <w:r w:rsidR="00AC07EC" w:rsidRPr="00AC07EC">
        <w:t>;</w:t>
      </w:r>
      <w:r w:rsidR="00A51317">
        <w:t xml:space="preserve"> whereas the BCBS monitors</w:t>
      </w:r>
      <w:r w:rsidR="00FD7A24">
        <w:t xml:space="preserve"> and review</w:t>
      </w:r>
      <w:r w:rsidR="00A51317">
        <w:t xml:space="preserve"> the impleme</w:t>
      </w:r>
      <w:r w:rsidR="00B13E6F">
        <w:t>ntation</w:t>
      </w:r>
      <w:r w:rsidR="000660CA">
        <w:t xml:space="preserve"> of these global standards</w:t>
      </w:r>
      <w:r w:rsidR="00B13E6F">
        <w:t xml:space="preserve"> </w:t>
      </w:r>
      <w:r w:rsidR="00FD7A24">
        <w:t>and reports to the G20</w:t>
      </w:r>
      <w:r w:rsidR="00B13E6F">
        <w:t>;</w:t>
      </w:r>
    </w:p>
    <w:p w14:paraId="2273E579" w14:textId="7FE88ADC" w:rsidR="00AA4366" w:rsidRDefault="00791A21" w:rsidP="00AC07EC">
      <w:pPr>
        <w:spacing w:after="240"/>
        <w:ind w:left="567" w:hanging="567"/>
      </w:pPr>
      <w:r>
        <w:t>D</w:t>
      </w:r>
      <w:r w:rsidR="00AA4366">
        <w:t>.</w:t>
      </w:r>
      <w:r w:rsidR="00AA4366">
        <w:tab/>
        <w:t xml:space="preserve">whereas the European Union implemented the </w:t>
      </w:r>
      <w:r w:rsidR="00AA4366" w:rsidRPr="00DA742E">
        <w:t>international</w:t>
      </w:r>
      <w:r w:rsidR="00D0148F" w:rsidRPr="00DA742E">
        <w:t>ly</w:t>
      </w:r>
      <w:r w:rsidR="00AA4366" w:rsidRPr="00DA742E">
        <w:t xml:space="preserve"> a</w:t>
      </w:r>
      <w:r w:rsidR="00AA4366">
        <w:t xml:space="preserve">greed standards in the framework of the Capital Requirements Regulation (CRR) and Capital Requirements Directive (CRD IV); </w:t>
      </w:r>
      <w:r w:rsidR="00B13E6F">
        <w:t>whereas these standards are applicable to all banks in the EU and not only to</w:t>
      </w:r>
      <w:r w:rsidR="00B57F74">
        <w:t xml:space="preserve"> the largest,</w:t>
      </w:r>
      <w:r w:rsidR="00B13E6F">
        <w:t xml:space="preserve"> international active banks;</w:t>
      </w:r>
      <w:r>
        <w:t xml:space="preserve"> </w:t>
      </w:r>
      <w:r w:rsidR="00AA4366">
        <w:t xml:space="preserve">whereas the Commission is expected to come </w:t>
      </w:r>
      <w:r w:rsidR="00AD6E03">
        <w:t>forward</w:t>
      </w:r>
      <w:r w:rsidR="00AA4366">
        <w:t xml:space="preserve"> with a legislative proposal for the review of the CRR/ CRD IV</w:t>
      </w:r>
      <w:r w:rsidR="00B13E6F">
        <w:t xml:space="preserve"> implementing </w:t>
      </w:r>
      <w:r w:rsidR="001A3184">
        <w:t>further</w:t>
      </w:r>
      <w:r w:rsidR="00B13E6F">
        <w:t xml:space="preserve"> agreed </w:t>
      </w:r>
      <w:r w:rsidR="001A3184">
        <w:t xml:space="preserve">revisions </w:t>
      </w:r>
      <w:r w:rsidR="00B13E6F">
        <w:t>to the Basel framework</w:t>
      </w:r>
      <w:r w:rsidR="00AA4366">
        <w:t xml:space="preserve">; </w:t>
      </w:r>
    </w:p>
    <w:p w14:paraId="5252F515" w14:textId="17240B71" w:rsidR="00791A21" w:rsidRDefault="001011A3" w:rsidP="00AC07EC">
      <w:pPr>
        <w:spacing w:after="240"/>
        <w:ind w:left="567" w:hanging="567"/>
      </w:pPr>
      <w:r>
        <w:t>E</w:t>
      </w:r>
      <w:r w:rsidR="00791A21">
        <w:t>.</w:t>
      </w:r>
      <w:r w:rsidR="00791A21">
        <w:tab/>
        <w:t xml:space="preserve">whereas the prudential requirements </w:t>
      </w:r>
      <w:r w:rsidR="001A3184">
        <w:t xml:space="preserve">for </w:t>
      </w:r>
      <w:r w:rsidR="00791A21">
        <w:t>banks are interlinked and complementary to other regulatory requirements;</w:t>
      </w:r>
    </w:p>
    <w:p w14:paraId="5E976220" w14:textId="65B66EEB" w:rsidR="002860E5" w:rsidRDefault="001011A3" w:rsidP="00AC07EC">
      <w:pPr>
        <w:spacing w:after="240"/>
        <w:ind w:left="567" w:hanging="567"/>
      </w:pPr>
      <w:r>
        <w:t>F</w:t>
      </w:r>
      <w:r w:rsidR="00AA4366">
        <w:t>.</w:t>
      </w:r>
      <w:r w:rsidR="00AA4366">
        <w:tab/>
        <w:t xml:space="preserve">whereas </w:t>
      </w:r>
      <w:r w:rsidR="008811CB">
        <w:t>additional</w:t>
      </w:r>
      <w:r w:rsidR="002860E5">
        <w:t xml:space="preserve"> </w:t>
      </w:r>
      <w:r w:rsidR="00AA4366">
        <w:t xml:space="preserve">changes </w:t>
      </w:r>
      <w:r w:rsidR="00565B0B">
        <w:t xml:space="preserve">to the prudential </w:t>
      </w:r>
      <w:r w:rsidR="00AA4366">
        <w:t>framework</w:t>
      </w:r>
      <w:r w:rsidR="00565B0B">
        <w:t xml:space="preserve"> for bank</w:t>
      </w:r>
      <w:r w:rsidR="001A3184">
        <w:t>s</w:t>
      </w:r>
      <w:r w:rsidR="00565B0B">
        <w:t xml:space="preserve"> </w:t>
      </w:r>
      <w:r w:rsidR="00AA4366">
        <w:t xml:space="preserve">are </w:t>
      </w:r>
      <w:r w:rsidR="00D0148F">
        <w:t xml:space="preserve">currently being </w:t>
      </w:r>
      <w:r w:rsidR="001A3184">
        <w:t xml:space="preserve">discussed </w:t>
      </w:r>
      <w:r w:rsidR="002860E5">
        <w:t xml:space="preserve">by the </w:t>
      </w:r>
      <w:r>
        <w:t>BCBS</w:t>
      </w:r>
      <w:r w:rsidR="000660CA">
        <w:t xml:space="preserve"> addressing credit risk and operational risk</w:t>
      </w:r>
      <w:r w:rsidR="002860E5">
        <w:t>;</w:t>
      </w:r>
      <w:r w:rsidR="00FD7A24">
        <w:t xml:space="preserve"> whereas these </w:t>
      </w:r>
      <w:r w:rsidR="002860E5">
        <w:t>reforms</w:t>
      </w:r>
      <w:r w:rsidR="000660CA">
        <w:t xml:space="preserve"> are focusing on the</w:t>
      </w:r>
      <w:r w:rsidR="002860E5">
        <w:t xml:space="preserve"> enhancement of the risk sensitivity and robustness of the standardised approach</w:t>
      </w:r>
      <w:r w:rsidR="000660CA">
        <w:t xml:space="preserve"> for credit risk</w:t>
      </w:r>
      <w:r w:rsidR="002860E5">
        <w:t xml:space="preserve">, additional constraints to the internally modelled approach and a finalisation of the design of the leverage ratio and a </w:t>
      </w:r>
      <w:r>
        <w:t xml:space="preserve">potential </w:t>
      </w:r>
      <w:r w:rsidR="002860E5">
        <w:t>capital floor based on the standardise approach;</w:t>
      </w:r>
    </w:p>
    <w:p w14:paraId="5108E694" w14:textId="170A8D43" w:rsidR="00AA4366" w:rsidRDefault="001011A3" w:rsidP="00AC07EC">
      <w:pPr>
        <w:spacing w:after="240"/>
        <w:ind w:left="567" w:hanging="567"/>
      </w:pPr>
      <w:r>
        <w:t>G</w:t>
      </w:r>
      <w:r w:rsidR="00AA4366">
        <w:t>.</w:t>
      </w:r>
      <w:r w:rsidR="00AA4366">
        <w:tab/>
        <w:t>whereas in the EU</w:t>
      </w:r>
      <w:r w:rsidR="00485B62">
        <w:t xml:space="preserve"> </w:t>
      </w:r>
      <w:r w:rsidR="00AA4366">
        <w:t>banks</w:t>
      </w:r>
      <w:r w:rsidR="00485B62">
        <w:t xml:space="preserve"> </w:t>
      </w:r>
      <w:r w:rsidR="00485B62" w:rsidRPr="00485B62">
        <w:t>are likely to remain a main source of finance</w:t>
      </w:r>
      <w:r w:rsidR="00AA4366">
        <w:t xml:space="preserve">; </w:t>
      </w:r>
    </w:p>
    <w:p w14:paraId="034AD5C1" w14:textId="76C62E93" w:rsidR="001B06D6" w:rsidRDefault="00AC07EC" w:rsidP="00AC07EC">
      <w:pPr>
        <w:spacing w:after="240"/>
        <w:ind w:left="567" w:hanging="567"/>
      </w:pPr>
      <w:r w:rsidRPr="00AC07EC">
        <w:t>1.</w:t>
      </w:r>
      <w:r w:rsidRPr="00AC07EC">
        <w:tab/>
      </w:r>
      <w:r w:rsidR="00B57F74">
        <w:t xml:space="preserve">Underlines the importance of sound global standards and principles for the prudential regulation of banks </w:t>
      </w:r>
      <w:r w:rsidR="00505136">
        <w:t xml:space="preserve">and welcomes the </w:t>
      </w:r>
      <w:r w:rsidR="00B57F74">
        <w:t>the</w:t>
      </w:r>
      <w:r w:rsidR="00C57745">
        <w:t xml:space="preserve"> post-crisis</w:t>
      </w:r>
      <w:r w:rsidR="00B57F74">
        <w:t xml:space="preserve"> work of the BCBS </w:t>
      </w:r>
      <w:r w:rsidR="00505136">
        <w:t>in this field</w:t>
      </w:r>
      <w:r w:rsidR="00791A21">
        <w:t>;</w:t>
      </w:r>
    </w:p>
    <w:p w14:paraId="2EE370C7" w14:textId="5783CA5E" w:rsidR="002D05CB" w:rsidRDefault="003C0776" w:rsidP="00AC07EC">
      <w:pPr>
        <w:spacing w:after="240"/>
        <w:ind w:left="567" w:hanging="567"/>
      </w:pPr>
      <w:r>
        <w:t>2</w:t>
      </w:r>
      <w:r w:rsidR="002D05CB">
        <w:t xml:space="preserve">. </w:t>
      </w:r>
      <w:r w:rsidR="002D05CB">
        <w:tab/>
        <w:t xml:space="preserve">Notes the ongoing work of the BCBS </w:t>
      </w:r>
      <w:r w:rsidR="00D76530">
        <w:t xml:space="preserve">to </w:t>
      </w:r>
      <w:r w:rsidR="002D05CB">
        <w:t>finalis</w:t>
      </w:r>
      <w:r w:rsidR="00D76530">
        <w:t xml:space="preserve">e </w:t>
      </w:r>
      <w:r w:rsidR="00791A21">
        <w:t>the</w:t>
      </w:r>
      <w:r w:rsidR="002D05CB">
        <w:t xml:space="preserve"> Basel III</w:t>
      </w:r>
      <w:r w:rsidR="00791A21">
        <w:t xml:space="preserve"> framework </w:t>
      </w:r>
      <w:r w:rsidR="007D2C4F">
        <w:t>intended to increase</w:t>
      </w:r>
      <w:r w:rsidR="002D05CB">
        <w:t xml:space="preserve"> simplicity</w:t>
      </w:r>
      <w:r w:rsidR="007D2C4F">
        <w:t>,</w:t>
      </w:r>
      <w:r w:rsidR="002D05CB">
        <w:t xml:space="preserve"> comparability</w:t>
      </w:r>
      <w:r w:rsidR="00C57745">
        <w:t xml:space="preserve"> and convergence</w:t>
      </w:r>
      <w:r w:rsidR="00505136">
        <w:t>, of the risk-weighted capital framework in order to address excessive variability in risk weighted assets</w:t>
      </w:r>
      <w:r w:rsidR="00D76530">
        <w:t>;</w:t>
      </w:r>
    </w:p>
    <w:p w14:paraId="479643A3" w14:textId="60E7F0C0" w:rsidR="00505136" w:rsidRDefault="003C0776" w:rsidP="00AC07EC">
      <w:pPr>
        <w:spacing w:after="240"/>
        <w:ind w:left="567" w:hanging="567"/>
      </w:pPr>
      <w:r>
        <w:t>3</w:t>
      </w:r>
      <w:r w:rsidR="007D2C4F">
        <w:t>.</w:t>
      </w:r>
      <w:r w:rsidR="00D76530">
        <w:tab/>
      </w:r>
      <w:r w:rsidR="00014101">
        <w:t xml:space="preserve">Stresses </w:t>
      </w:r>
      <w:r w:rsidR="00505136">
        <w:t xml:space="preserve">that </w:t>
      </w:r>
      <w:r w:rsidR="00014101">
        <w:t>the current revision should respect the principle stated by the Group of Governors and Head of Supervision, of not leading to an overall significant increase in the capital requirements for banks;</w:t>
      </w:r>
    </w:p>
    <w:p w14:paraId="3D0BCFD0" w14:textId="13CF1FBC" w:rsidR="00014101" w:rsidRDefault="00014101" w:rsidP="00AC07EC">
      <w:pPr>
        <w:spacing w:after="240"/>
        <w:ind w:left="567" w:hanging="567"/>
      </w:pPr>
      <w:r>
        <w:t xml:space="preserve">4. </w:t>
      </w:r>
      <w:r>
        <w:tab/>
        <w:t xml:space="preserve">Underlines that a second and equally important principle that the revision should respect </w:t>
      </w:r>
      <w:r>
        <w:lastRenderedPageBreak/>
        <w:t>is to not  negatively impact on the level playing field at the global level by exacerbating - rathe</w:t>
      </w:r>
      <w:r w:rsidR="001A49D5">
        <w:t>r</w:t>
      </w:r>
      <w:r>
        <w:t xml:space="preserve"> than mitigating - the differences between jurisdictions and banking models;</w:t>
      </w:r>
    </w:p>
    <w:p w14:paraId="1491208A" w14:textId="3F1EDC15" w:rsidR="00D76530" w:rsidRDefault="00014101" w:rsidP="00AC07EC">
      <w:pPr>
        <w:spacing w:after="240"/>
        <w:ind w:left="567" w:hanging="567"/>
      </w:pPr>
      <w:r>
        <w:t>5.</w:t>
      </w:r>
      <w:r>
        <w:tab/>
      </w:r>
      <w:r w:rsidR="00D76530">
        <w:t xml:space="preserve">Is concerned that the reform package </w:t>
      </w:r>
      <w:r>
        <w:t xml:space="preserve">at its current stage </w:t>
      </w:r>
      <w:r w:rsidR="00D76530">
        <w:t xml:space="preserve">might </w:t>
      </w:r>
      <w:r>
        <w:t>not be in compliance with those two abovementioned principle</w:t>
      </w:r>
      <w:r w:rsidR="00EC15FB">
        <w:t xml:space="preserve">s, and calls on the ECB to ensure their respect in the new standard; </w:t>
      </w:r>
    </w:p>
    <w:p w14:paraId="0CB0ED26" w14:textId="58EC976D" w:rsidR="00F75B40" w:rsidRDefault="00F75B40" w:rsidP="00AC07EC">
      <w:pPr>
        <w:spacing w:after="240"/>
        <w:ind w:left="567" w:hanging="567"/>
      </w:pPr>
      <w:r>
        <w:t xml:space="preserve">6. </w:t>
      </w:r>
      <w:r w:rsidR="00EC15FB">
        <w:tab/>
        <w:t>Underlines that this would be instrumental for ensuring a consistend implementation of the new standard by the European Parliament as colegislator;</w:t>
      </w:r>
    </w:p>
    <w:p w14:paraId="0979E4F6" w14:textId="2917BB05" w:rsidR="007D2C4F" w:rsidRDefault="00EC15FB" w:rsidP="00AC07EC">
      <w:pPr>
        <w:spacing w:after="240"/>
        <w:ind w:left="567" w:hanging="567"/>
      </w:pPr>
      <w:r>
        <w:t>7</w:t>
      </w:r>
      <w:r w:rsidR="00F75B40">
        <w:t>.</w:t>
      </w:r>
      <w:r w:rsidR="00505136">
        <w:tab/>
      </w:r>
      <w:r w:rsidR="00DF5ACB">
        <w:t>Calls on the BCBS to assess carefully and comprehensively the qualitative and quantitative impact of the new reforms considering its impact on different jurisdictions and different banking models;</w:t>
      </w:r>
      <w:r w:rsidR="007D2C4F" w:rsidRPr="007D2C4F">
        <w:t xml:space="preserve"> </w:t>
      </w:r>
    </w:p>
    <w:p w14:paraId="7FB0A1AC" w14:textId="644DA943" w:rsidR="00DF5ACB" w:rsidRDefault="00EC15FB" w:rsidP="00AC07EC">
      <w:pPr>
        <w:spacing w:after="240"/>
        <w:ind w:left="567" w:hanging="567"/>
      </w:pPr>
      <w:r>
        <w:t>8</w:t>
      </w:r>
      <w:r w:rsidR="007D2C4F">
        <w:t xml:space="preserve">. </w:t>
      </w:r>
      <w:r w:rsidR="007D2C4F">
        <w:tab/>
        <w:t>Recalls its request for a risk-based approach to regulation, with the same rules being applied to the same risk; calls upon the BCBS to preserve the risk sensitivity of the prudential regulation;</w:t>
      </w:r>
    </w:p>
    <w:p w14:paraId="2D184E67" w14:textId="40C207F6" w:rsidR="00EC15FB" w:rsidRDefault="00656796" w:rsidP="00EC15FB">
      <w:pPr>
        <w:spacing w:after="240"/>
        <w:ind w:left="567" w:hanging="567"/>
      </w:pPr>
      <w:r>
        <w:t>9</w:t>
      </w:r>
      <w:r w:rsidR="00C403E1">
        <w:t xml:space="preserve">. </w:t>
      </w:r>
      <w:r w:rsidR="00C403E1">
        <w:tab/>
      </w:r>
      <w:r w:rsidR="00D76530">
        <w:t>Underlines the role of the European and national banking supervisor</w:t>
      </w:r>
      <w:r w:rsidR="00EC15FB">
        <w:t>s</w:t>
      </w:r>
      <w:r w:rsidR="00D76530">
        <w:t xml:space="preserve"> in ensuring supervisory convergence in the EU</w:t>
      </w:r>
      <w:r w:rsidR="00F75B40">
        <w:t>, taking into account the principle of proportionality</w:t>
      </w:r>
      <w:r w:rsidR="00D76530">
        <w:t xml:space="preserve">; </w:t>
      </w:r>
      <w:r w:rsidR="007D2C4F">
        <w:t xml:space="preserve">calls on the SSM </w:t>
      </w:r>
      <w:r w:rsidR="00EC15FB">
        <w:t xml:space="preserve">and the EBA </w:t>
      </w:r>
      <w:r w:rsidR="007D2C4F">
        <w:t>to ensure consistent implementation of the internal models used by banks</w:t>
      </w:r>
      <w:r w:rsidR="00761465">
        <w:t>;</w:t>
      </w:r>
      <w:r w:rsidR="007D2C4F">
        <w:t xml:space="preserve"> </w:t>
      </w:r>
    </w:p>
    <w:p w14:paraId="41E97009" w14:textId="2F016F38" w:rsidR="00EC15FB" w:rsidRDefault="00EC15FB" w:rsidP="00EC15FB">
      <w:pPr>
        <w:spacing w:after="240"/>
        <w:ind w:left="567" w:hanging="567"/>
      </w:pPr>
      <w:r>
        <w:t>1</w:t>
      </w:r>
      <w:r w:rsidR="00656796">
        <w:t>0</w:t>
      </w:r>
      <w:r>
        <w:t>.</w:t>
      </w:r>
      <w:r w:rsidR="009C3519">
        <w:tab/>
      </w:r>
      <w:r>
        <w:t>Recalls the interacti</w:t>
      </w:r>
      <w:bookmarkStart w:id="0" w:name="_GoBack"/>
      <w:bookmarkEnd w:id="0"/>
      <w:r>
        <w:t>on of the prudential requirements for banks with other major banking standards, such as the introduction of the TLAC standard within the EU and its harmonisation with the MREL requirement under the BRRD, as well as the application of the IFRS</w:t>
      </w:r>
      <w:r w:rsidR="009C3519">
        <w:t xml:space="preserve"> 9</w:t>
      </w:r>
      <w:r>
        <w:t xml:space="preserve"> accounting standard in the near future;</w:t>
      </w:r>
    </w:p>
    <w:p w14:paraId="7C4EA811" w14:textId="5EC82421" w:rsidR="002D05CB" w:rsidRDefault="00EC15FB" w:rsidP="00F231D5">
      <w:pPr>
        <w:spacing w:after="240"/>
        <w:ind w:left="567" w:hanging="567"/>
      </w:pPr>
      <w:r>
        <w:t>1</w:t>
      </w:r>
      <w:r w:rsidR="00656796">
        <w:t>1</w:t>
      </w:r>
      <w:r>
        <w:t xml:space="preserve">. </w:t>
      </w:r>
      <w:r>
        <w:tab/>
      </w:r>
      <w:r w:rsidR="00AC07EC" w:rsidRPr="00AC07EC">
        <w:t>Instructs its President to forward this resolution to the Commission.</w:t>
      </w:r>
    </w:p>
    <w:sectPr w:rsidR="002D05CB" w:rsidSect="00E054D5">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BABA3" w14:textId="77777777" w:rsidR="00C5226D" w:rsidRPr="00AE6EA3" w:rsidRDefault="00C5226D">
      <w:r w:rsidRPr="00AE6EA3">
        <w:separator/>
      </w:r>
    </w:p>
  </w:endnote>
  <w:endnote w:type="continuationSeparator" w:id="0">
    <w:p w14:paraId="5CF14CAC" w14:textId="77777777" w:rsidR="00C5226D" w:rsidRPr="00AE6EA3" w:rsidRDefault="00C5226D">
      <w:r w:rsidRPr="00AE6E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A9C6" w14:textId="58AEE4B7" w:rsidR="001011A3" w:rsidRPr="00D0148F" w:rsidRDefault="001011A3">
    <w:pPr>
      <w:pStyle w:val="Footer"/>
      <w:tabs>
        <w:tab w:val="right" w:pos="9356"/>
      </w:tabs>
      <w:rPr>
        <w:lang w:val="fr-FR"/>
      </w:rPr>
    </w:pPr>
    <w:r>
      <w:fldChar w:fldCharType="begin"/>
    </w:r>
    <w:r w:rsidRPr="00D0148F">
      <w:rPr>
        <w:lang w:val="fr-FR"/>
      </w:rPr>
      <w:instrText xml:space="preserve"> REF OutsideFooter </w:instrText>
    </w:r>
    <w:r>
      <w:fldChar w:fldCharType="separate"/>
    </w:r>
    <w:r w:rsidRPr="00D0148F">
      <w:rPr>
        <w:lang w:val="fr-FR"/>
      </w:rPr>
      <w:t>PE</w:t>
    </w:r>
    <w:r w:rsidRPr="00D0148F">
      <w:rPr>
        <w:rStyle w:val="HideTWBExt"/>
        <w:noProof w:val="0"/>
        <w:lang w:val="fr-FR"/>
      </w:rPr>
      <w:t>&lt;NoPE&gt;</w:t>
    </w:r>
    <w:r w:rsidRPr="00D0148F">
      <w:rPr>
        <w:lang w:val="fr-FR"/>
      </w:rPr>
      <w:t>589.282</w:t>
    </w:r>
    <w:r w:rsidRPr="00D0148F">
      <w:rPr>
        <w:rStyle w:val="HideTWBExt"/>
        <w:noProof w:val="0"/>
        <w:lang w:val="fr-FR"/>
      </w:rPr>
      <w:t>&lt;/NoPE&gt;&lt;Version&gt;</w:t>
    </w:r>
    <w:r w:rsidRPr="00D0148F">
      <w:rPr>
        <w:lang w:val="fr-FR"/>
      </w:rPr>
      <w:t>v02-00</w:t>
    </w:r>
    <w:r w:rsidRPr="00D0148F">
      <w:rPr>
        <w:rStyle w:val="HideTWBExt"/>
        <w:noProof w:val="0"/>
        <w:lang w:val="fr-FR"/>
      </w:rPr>
      <w:t>&lt;/Version&gt;</w:t>
    </w:r>
    <w:r>
      <w:rPr>
        <w:rStyle w:val="HideTWBExt"/>
        <w:noProof w:val="0"/>
      </w:rPr>
      <w:fldChar w:fldCharType="end"/>
    </w:r>
    <w:r w:rsidRPr="00D0148F">
      <w:rPr>
        <w:lang w:val="fr-FR"/>
      </w:rPr>
      <w:tab/>
    </w:r>
    <w:r w:rsidRPr="00AE6EA3">
      <w:fldChar w:fldCharType="begin"/>
    </w:r>
    <w:r w:rsidRPr="00D0148F">
      <w:rPr>
        <w:lang w:val="fr-FR"/>
      </w:rPr>
      <w:instrText xml:space="preserve"> PAGE </w:instrText>
    </w:r>
    <w:r w:rsidRPr="00AE6EA3">
      <w:fldChar w:fldCharType="separate"/>
    </w:r>
    <w:r w:rsidR="001A49D5">
      <w:rPr>
        <w:noProof/>
        <w:lang w:val="fr-FR"/>
      </w:rPr>
      <w:t>4</w:t>
    </w:r>
    <w:r w:rsidRPr="00AE6EA3">
      <w:fldChar w:fldCharType="end"/>
    </w:r>
    <w:r w:rsidRPr="00D0148F">
      <w:rPr>
        <w:lang w:val="fr-FR"/>
      </w:rPr>
      <w:t>/</w:t>
    </w:r>
    <w:r>
      <w:fldChar w:fldCharType="begin"/>
    </w:r>
    <w:r w:rsidRPr="00D0148F">
      <w:rPr>
        <w:lang w:val="fr-FR"/>
      </w:rPr>
      <w:instrText xml:space="preserve"> NUMPAGES </w:instrText>
    </w:r>
    <w:r>
      <w:fldChar w:fldCharType="separate"/>
    </w:r>
    <w:r w:rsidR="001A49D5">
      <w:rPr>
        <w:noProof/>
        <w:lang w:val="fr-FR"/>
      </w:rPr>
      <w:t>4</w:t>
    </w:r>
    <w:r>
      <w:rPr>
        <w:noProof/>
      </w:rPr>
      <w:fldChar w:fldCharType="end"/>
    </w:r>
    <w:r w:rsidRPr="00D0148F">
      <w:rPr>
        <w:lang w:val="fr-FR"/>
      </w:rPr>
      <w:tab/>
    </w:r>
    <w:r>
      <w:fldChar w:fldCharType="begin"/>
    </w:r>
    <w:r w:rsidRPr="00D0148F">
      <w:rPr>
        <w:lang w:val="fr-FR"/>
      </w:rPr>
      <w:instrText xml:space="preserve"> REF InsideFooter </w:instrText>
    </w:r>
    <w:r>
      <w:fldChar w:fldCharType="separate"/>
    </w:r>
    <w:r w:rsidRPr="00D0148F">
      <w:rPr>
        <w:rStyle w:val="HideTWBExt"/>
        <w:noProof w:val="0"/>
        <w:lang w:val="fr-FR"/>
      </w:rPr>
      <w:t>&lt;PathFdR&gt;</w:t>
    </w:r>
    <w:r w:rsidRPr="00D0148F">
      <w:rPr>
        <w:lang w:val="fr-FR"/>
      </w:rPr>
      <w:t>RE\1104805EN.docx</w:t>
    </w:r>
    <w:r w:rsidRPr="00D0148F">
      <w:rPr>
        <w:rStyle w:val="HideTWBExt"/>
        <w:noProof w:val="0"/>
        <w:lang w:val="fr-FR"/>
      </w:rPr>
      <w:t>&lt;/PathFdR&gt;</w:t>
    </w:r>
    <w:r>
      <w:rPr>
        <w:rStyle w:val="HideTWBExt"/>
        <w:noProof w:val="0"/>
      </w:rPr>
      <w:fldChar w:fldCharType="end"/>
    </w:r>
  </w:p>
  <w:p w14:paraId="6A4709B6" w14:textId="77777777" w:rsidR="001011A3" w:rsidRPr="00D0148F" w:rsidRDefault="001011A3">
    <w:pPr>
      <w:pStyle w:val="Footer2"/>
      <w:rPr>
        <w:lang w:val="fr-FR"/>
      </w:rPr>
    </w:pPr>
    <w:r>
      <w:fldChar w:fldCharType="begin"/>
    </w:r>
    <w:r w:rsidRPr="00D0148F">
      <w:rPr>
        <w:lang w:val="fr-FR"/>
      </w:rPr>
      <w:instrText xml:space="preserve"> DOCPROPERTY "&lt;Extension&gt;" </w:instrText>
    </w:r>
    <w:r>
      <w:fldChar w:fldCharType="separate"/>
    </w:r>
    <w:r w:rsidRPr="00D0148F">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2766" w14:textId="2969EE8D" w:rsidR="001011A3" w:rsidRPr="00D0148F" w:rsidRDefault="001011A3">
    <w:pPr>
      <w:pStyle w:val="Footer"/>
      <w:tabs>
        <w:tab w:val="right" w:pos="9356"/>
      </w:tabs>
      <w:rPr>
        <w:lang w:val="fr-FR"/>
      </w:rPr>
    </w:pPr>
    <w:r>
      <w:fldChar w:fldCharType="begin"/>
    </w:r>
    <w:r w:rsidRPr="00D0148F">
      <w:rPr>
        <w:lang w:val="fr-FR"/>
      </w:rPr>
      <w:instrText xml:space="preserve"> REF InsideFooter </w:instrText>
    </w:r>
    <w:r>
      <w:fldChar w:fldCharType="separate"/>
    </w:r>
    <w:r w:rsidRPr="00D0148F">
      <w:rPr>
        <w:rStyle w:val="HideTWBExt"/>
        <w:noProof w:val="0"/>
        <w:lang w:val="fr-FR"/>
      </w:rPr>
      <w:t>&lt;PathFdR&gt;</w:t>
    </w:r>
    <w:r w:rsidRPr="00D0148F">
      <w:rPr>
        <w:lang w:val="fr-FR"/>
      </w:rPr>
      <w:t>RE\1104805EN.docx</w:t>
    </w:r>
    <w:r w:rsidRPr="00D0148F">
      <w:rPr>
        <w:rStyle w:val="HideTWBExt"/>
        <w:noProof w:val="0"/>
        <w:lang w:val="fr-FR"/>
      </w:rPr>
      <w:t>&lt;/PathFdR&gt;</w:t>
    </w:r>
    <w:r>
      <w:rPr>
        <w:rStyle w:val="HideTWBExt"/>
        <w:noProof w:val="0"/>
      </w:rPr>
      <w:fldChar w:fldCharType="end"/>
    </w:r>
    <w:r w:rsidRPr="00D0148F">
      <w:rPr>
        <w:lang w:val="fr-FR"/>
      </w:rPr>
      <w:tab/>
    </w:r>
    <w:r w:rsidRPr="00AE6EA3">
      <w:fldChar w:fldCharType="begin"/>
    </w:r>
    <w:r w:rsidRPr="00D0148F">
      <w:rPr>
        <w:lang w:val="fr-FR"/>
      </w:rPr>
      <w:instrText xml:space="preserve"> PAGE </w:instrText>
    </w:r>
    <w:r w:rsidRPr="00AE6EA3">
      <w:fldChar w:fldCharType="separate"/>
    </w:r>
    <w:r w:rsidR="001A49D5">
      <w:rPr>
        <w:noProof/>
        <w:lang w:val="fr-FR"/>
      </w:rPr>
      <w:t>3</w:t>
    </w:r>
    <w:r w:rsidRPr="00AE6EA3">
      <w:fldChar w:fldCharType="end"/>
    </w:r>
    <w:r w:rsidRPr="00D0148F">
      <w:rPr>
        <w:lang w:val="fr-FR"/>
      </w:rPr>
      <w:t>/</w:t>
    </w:r>
    <w:r>
      <w:fldChar w:fldCharType="begin"/>
    </w:r>
    <w:r w:rsidRPr="00D0148F">
      <w:rPr>
        <w:lang w:val="fr-FR"/>
      </w:rPr>
      <w:instrText xml:space="preserve"> NUMPAGES </w:instrText>
    </w:r>
    <w:r>
      <w:fldChar w:fldCharType="separate"/>
    </w:r>
    <w:r w:rsidR="001A49D5">
      <w:rPr>
        <w:noProof/>
        <w:lang w:val="fr-FR"/>
      </w:rPr>
      <w:t>4</w:t>
    </w:r>
    <w:r>
      <w:rPr>
        <w:noProof/>
      </w:rPr>
      <w:fldChar w:fldCharType="end"/>
    </w:r>
    <w:r w:rsidRPr="00D0148F">
      <w:rPr>
        <w:lang w:val="fr-FR"/>
      </w:rPr>
      <w:tab/>
    </w:r>
    <w:r>
      <w:fldChar w:fldCharType="begin"/>
    </w:r>
    <w:r w:rsidRPr="00D0148F">
      <w:rPr>
        <w:lang w:val="fr-FR"/>
      </w:rPr>
      <w:instrText xml:space="preserve"> REF OutsideFooter </w:instrText>
    </w:r>
    <w:r>
      <w:fldChar w:fldCharType="separate"/>
    </w:r>
    <w:r w:rsidRPr="00D0148F">
      <w:rPr>
        <w:lang w:val="fr-FR"/>
      </w:rPr>
      <w:t>PE</w:t>
    </w:r>
    <w:r w:rsidRPr="00D0148F">
      <w:rPr>
        <w:rStyle w:val="HideTWBExt"/>
        <w:noProof w:val="0"/>
        <w:lang w:val="fr-FR"/>
      </w:rPr>
      <w:t>&lt;NoPE&gt;</w:t>
    </w:r>
    <w:r w:rsidRPr="00D0148F">
      <w:rPr>
        <w:lang w:val="fr-FR"/>
      </w:rPr>
      <w:t>589.282</w:t>
    </w:r>
    <w:r w:rsidRPr="00D0148F">
      <w:rPr>
        <w:rStyle w:val="HideTWBExt"/>
        <w:noProof w:val="0"/>
        <w:lang w:val="fr-FR"/>
      </w:rPr>
      <w:t>&lt;/NoPE&gt;&lt;Version&gt;</w:t>
    </w:r>
    <w:r w:rsidRPr="00D0148F">
      <w:rPr>
        <w:lang w:val="fr-FR"/>
      </w:rPr>
      <w:t>v02-00</w:t>
    </w:r>
    <w:r w:rsidRPr="00D0148F">
      <w:rPr>
        <w:rStyle w:val="HideTWBExt"/>
        <w:noProof w:val="0"/>
        <w:lang w:val="fr-FR"/>
      </w:rPr>
      <w:t>&lt;/Version&gt;</w:t>
    </w:r>
    <w:r>
      <w:rPr>
        <w:rStyle w:val="HideTWBExt"/>
        <w:noProof w:val="0"/>
      </w:rPr>
      <w:fldChar w:fldCharType="end"/>
    </w:r>
  </w:p>
  <w:p w14:paraId="5F761D30" w14:textId="77777777" w:rsidR="001011A3" w:rsidRPr="00AE6EA3" w:rsidRDefault="001011A3">
    <w:pPr>
      <w:pStyle w:val="Footer2"/>
    </w:pPr>
    <w:r w:rsidRPr="00D0148F">
      <w:rPr>
        <w:lang w:val="fr-FR"/>
      </w:rPr>
      <w:tab/>
    </w:r>
    <w:r w:rsidR="001A49D5">
      <w:fldChar w:fldCharType="begin"/>
    </w:r>
    <w:r w:rsidR="001A49D5">
      <w:instrText xml:space="preserve"> DOCPROPERTY "&lt;Extension&gt;" </w:instrText>
    </w:r>
    <w:r w:rsidR="001A49D5">
      <w:fldChar w:fldCharType="separate"/>
    </w:r>
    <w:r>
      <w:t>EN</w:t>
    </w:r>
    <w:r w:rsidR="001A49D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E33CE" w14:textId="77777777" w:rsidR="001011A3" w:rsidRPr="00D0148F" w:rsidRDefault="001011A3">
    <w:pPr>
      <w:pStyle w:val="Footer"/>
      <w:rPr>
        <w:lang w:val="fr-FR"/>
      </w:rPr>
    </w:pPr>
    <w:bookmarkStart w:id="1" w:name="InsideFooter"/>
    <w:r w:rsidRPr="00D0148F">
      <w:rPr>
        <w:rStyle w:val="HideTWBExt"/>
        <w:noProof w:val="0"/>
        <w:lang w:val="fr-FR"/>
      </w:rPr>
      <w:t>&lt;PathFdR&gt;</w:t>
    </w:r>
    <w:r w:rsidRPr="00D0148F">
      <w:rPr>
        <w:lang w:val="fr-FR"/>
      </w:rPr>
      <w:t>RE\1104805EN.docx</w:t>
    </w:r>
    <w:r w:rsidRPr="00D0148F">
      <w:rPr>
        <w:rStyle w:val="HideTWBExt"/>
        <w:noProof w:val="0"/>
        <w:lang w:val="fr-FR"/>
      </w:rPr>
      <w:t>&lt;/PathFdR&gt;</w:t>
    </w:r>
    <w:bookmarkEnd w:id="1"/>
    <w:r w:rsidRPr="00D0148F">
      <w:rPr>
        <w:lang w:val="fr-FR"/>
      </w:rPr>
      <w:tab/>
    </w:r>
    <w:r w:rsidRPr="00D0148F">
      <w:rPr>
        <w:lang w:val="fr-FR"/>
      </w:rPr>
      <w:tab/>
    </w:r>
    <w:bookmarkStart w:id="2" w:name="OutsideFooter"/>
    <w:r w:rsidRPr="00D0148F">
      <w:rPr>
        <w:lang w:val="fr-FR"/>
      </w:rPr>
      <w:t>PE</w:t>
    </w:r>
    <w:r w:rsidRPr="00D0148F">
      <w:rPr>
        <w:rStyle w:val="HideTWBExt"/>
        <w:noProof w:val="0"/>
        <w:lang w:val="fr-FR"/>
      </w:rPr>
      <w:t>&lt;NoPE&gt;</w:t>
    </w:r>
    <w:r w:rsidRPr="00D0148F">
      <w:rPr>
        <w:lang w:val="fr-FR"/>
      </w:rPr>
      <w:t>589.282</w:t>
    </w:r>
    <w:r w:rsidRPr="00D0148F">
      <w:rPr>
        <w:rStyle w:val="HideTWBExt"/>
        <w:noProof w:val="0"/>
        <w:lang w:val="fr-FR"/>
      </w:rPr>
      <w:t>&lt;/NoPE&gt;&lt;Version&gt;</w:t>
    </w:r>
    <w:r w:rsidRPr="00D0148F">
      <w:rPr>
        <w:lang w:val="fr-FR"/>
      </w:rPr>
      <w:t>v02-00</w:t>
    </w:r>
    <w:r w:rsidRPr="00D0148F">
      <w:rPr>
        <w:rStyle w:val="HideTWBExt"/>
        <w:noProof w:val="0"/>
        <w:lang w:val="fr-FR"/>
      </w:rPr>
      <w:t>&lt;/Version&gt;</w:t>
    </w:r>
    <w:bookmarkEnd w:id="2"/>
  </w:p>
  <w:p w14:paraId="62165CD2" w14:textId="77777777" w:rsidR="001011A3" w:rsidRPr="00AE6EA3" w:rsidRDefault="001A49D5" w:rsidP="0089074B">
    <w:pPr>
      <w:pStyle w:val="Footer2"/>
      <w:tabs>
        <w:tab w:val="center" w:pos="4536"/>
      </w:tabs>
    </w:pPr>
    <w:r>
      <w:fldChar w:fldCharType="begin"/>
    </w:r>
    <w:r>
      <w:instrText xml:space="preserve"> DOCPROPERTY "&lt;Extension&gt;" </w:instrText>
    </w:r>
    <w:r>
      <w:fldChar w:fldCharType="separate"/>
    </w:r>
    <w:r w:rsidR="001011A3">
      <w:t>EN</w:t>
    </w:r>
    <w:r>
      <w:fldChar w:fldCharType="end"/>
    </w:r>
    <w:r w:rsidR="001011A3" w:rsidRPr="00AE6EA3">
      <w:rPr>
        <w:color w:val="C0C0C0"/>
      </w:rPr>
      <w:tab/>
    </w:r>
    <w:r w:rsidR="001011A3">
      <w:rPr>
        <w:b w:val="0"/>
        <w:i/>
        <w:color w:val="C0C0C0"/>
        <w:sz w:val="22"/>
        <w:szCs w:val="22"/>
      </w:rPr>
      <w:t>United in diversity</w:t>
    </w:r>
    <w:r w:rsidR="001011A3" w:rsidRPr="00AE6EA3">
      <w:rPr>
        <w:color w:val="C0C0C0"/>
      </w:rPr>
      <w:tab/>
    </w:r>
    <w:r>
      <w:fldChar w:fldCharType="begin"/>
    </w:r>
    <w:r>
      <w:instrText xml:space="preserve"> DOCPROPERTY "&lt;Extension&gt;" </w:instrText>
    </w:r>
    <w:r>
      <w:fldChar w:fldCharType="separate"/>
    </w:r>
    <w:r w:rsidR="001011A3">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C09D3" w14:textId="77777777" w:rsidR="00C5226D" w:rsidRPr="00AE6EA3" w:rsidRDefault="00C5226D">
      <w:r w:rsidRPr="00AE6EA3">
        <w:separator/>
      </w:r>
    </w:p>
  </w:footnote>
  <w:footnote w:type="continuationSeparator" w:id="0">
    <w:p w14:paraId="52574E2B" w14:textId="77777777" w:rsidR="00C5226D" w:rsidRPr="00AE6EA3" w:rsidRDefault="00C5226D">
      <w:r w:rsidRPr="00AE6EA3">
        <w:continuationSeparator/>
      </w:r>
    </w:p>
  </w:footnote>
  <w:footnote w:id="1">
    <w:p w14:paraId="4EB8EE44" w14:textId="77777777" w:rsidR="001011A3" w:rsidRPr="00A51317" w:rsidRDefault="001011A3" w:rsidP="00A51317">
      <w:pPr>
        <w:pStyle w:val="FootnoteText"/>
        <w:rPr>
          <w:lang w:val="fr-FR"/>
        </w:rPr>
      </w:pPr>
      <w:r>
        <w:rPr>
          <w:rStyle w:val="FootnoteReference"/>
        </w:rPr>
        <w:footnoteRef/>
      </w:r>
      <w:r w:rsidRPr="00A51317">
        <w:rPr>
          <w:lang w:val="fr-FR"/>
        </w:rPr>
        <w:t xml:space="preserve"> </w:t>
      </w:r>
      <w:hyperlink r:id="rId1" w:history="1">
        <w:r w:rsidRPr="00A51317">
          <w:rPr>
            <w:rStyle w:val="Hyperlink"/>
            <w:lang w:val="fr-FR"/>
          </w:rPr>
          <w:t>http://www.bis.org/bcbs/publ/d344.pdf</w:t>
        </w:r>
      </w:hyperlink>
      <w:r w:rsidRPr="00A51317">
        <w:rPr>
          <w:lang w:val="fr-FR"/>
        </w:rPr>
        <w:t>.</w:t>
      </w:r>
    </w:p>
  </w:footnote>
  <w:footnote w:id="2">
    <w:p w14:paraId="0231958D" w14:textId="1A5592ED" w:rsidR="001011A3" w:rsidRPr="00EE318F" w:rsidRDefault="001011A3">
      <w:pPr>
        <w:pStyle w:val="FootnoteText"/>
        <w:rPr>
          <w:lang w:val="fr-FR"/>
        </w:rPr>
      </w:pPr>
      <w:r>
        <w:rPr>
          <w:rStyle w:val="FootnoteReference"/>
        </w:rPr>
        <w:footnoteRef/>
      </w:r>
      <w:r w:rsidRPr="00EE318F">
        <w:rPr>
          <w:lang w:val="fr-FR"/>
        </w:rPr>
        <w:t xml:space="preserve"> </w:t>
      </w:r>
      <w:hyperlink r:id="rId2" w:history="1">
        <w:r w:rsidRPr="00EE318F">
          <w:rPr>
            <w:rStyle w:val="Hyperlink"/>
            <w:lang w:val="fr-FR"/>
          </w:rPr>
          <w:t>https://www.bis.org/bcbs/publ/d387.htm</w:t>
        </w:r>
      </w:hyperlink>
      <w:r w:rsidRPr="00EE318F">
        <w:rPr>
          <w:lang w:val="fr-FR"/>
        </w:rPr>
        <w:t>.</w:t>
      </w:r>
    </w:p>
  </w:footnote>
  <w:footnote w:id="3">
    <w:p w14:paraId="3C6B80B9" w14:textId="12CE7F16" w:rsidR="001011A3" w:rsidRPr="00EE318F" w:rsidRDefault="001011A3" w:rsidP="004C232D">
      <w:pPr>
        <w:pStyle w:val="FootnoteText"/>
        <w:rPr>
          <w:lang w:val="fr-FR"/>
        </w:rPr>
      </w:pPr>
      <w:r>
        <w:rPr>
          <w:rStyle w:val="FootnoteReference"/>
        </w:rPr>
        <w:footnoteRef/>
      </w:r>
      <w:r>
        <w:rPr>
          <w:lang w:val="fr-FR"/>
        </w:rPr>
        <w:t xml:space="preserve"> </w:t>
      </w:r>
      <w:hyperlink r:id="rId3" w:history="1">
        <w:r w:rsidRPr="00B25AEB">
          <w:rPr>
            <w:rStyle w:val="Hyperlink"/>
            <w:lang w:val="fr-FR"/>
          </w:rPr>
          <w:t>http://www.consilium.europa.eu/en/press/press-releases/2016/07/12-conclusions-banking-reform/</w:t>
        </w:r>
      </w:hyperlink>
      <w:r>
        <w:rPr>
          <w:lang w:val="fr-FR"/>
        </w:rPr>
        <w:t>.</w:t>
      </w:r>
    </w:p>
  </w:footnote>
  <w:footnote w:id="4">
    <w:p w14:paraId="3613D799" w14:textId="769D2355" w:rsidR="001011A3" w:rsidRPr="00EE318F" w:rsidRDefault="001011A3">
      <w:pPr>
        <w:pStyle w:val="FootnoteText"/>
      </w:pPr>
      <w:r>
        <w:rPr>
          <w:rStyle w:val="FootnoteReference"/>
        </w:rPr>
        <w:footnoteRef/>
      </w:r>
      <w:r w:rsidRPr="00EE318F">
        <w:t xml:space="preserve"> Texts adopted, </w:t>
      </w:r>
      <w:hyperlink r:id="rId4" w:history="1">
        <w:r w:rsidRPr="00EE318F">
          <w:rPr>
            <w:rStyle w:val="Hyperlink"/>
          </w:rPr>
          <w:t>P8_TA(2016)0093</w:t>
        </w:r>
      </w:hyperlink>
      <w:r w:rsidRPr="00EE318F">
        <w:t>.</w:t>
      </w:r>
    </w:p>
  </w:footnote>
  <w:footnote w:id="5">
    <w:p w14:paraId="58B9A7B3" w14:textId="1EFE9833" w:rsidR="001011A3" w:rsidRPr="005360FE" w:rsidRDefault="001011A3">
      <w:pPr>
        <w:pStyle w:val="FootnoteText"/>
      </w:pPr>
      <w:r>
        <w:rPr>
          <w:rStyle w:val="FootnoteReference"/>
        </w:rPr>
        <w:footnoteRef/>
      </w:r>
      <w:r>
        <w:t xml:space="preserve"> </w:t>
      </w:r>
      <w:r w:rsidRPr="005360FE">
        <w:t xml:space="preserve">Texts adopted, </w:t>
      </w:r>
      <w:hyperlink r:id="rId5" w:history="1">
        <w:r w:rsidRPr="005360FE">
          <w:rPr>
            <w:rStyle w:val="Hyperlink"/>
          </w:rPr>
          <w:t>P8_TA(2016)0006</w:t>
        </w:r>
      </w:hyperlink>
      <w:r w:rsidRPr="005360FE">
        <w:t>.</w:t>
      </w:r>
    </w:p>
  </w:footnote>
  <w:footnote w:id="6">
    <w:p w14:paraId="62573A14" w14:textId="4A67E471" w:rsidR="001011A3" w:rsidRPr="005360FE" w:rsidRDefault="001011A3">
      <w:pPr>
        <w:pStyle w:val="FootnoteText"/>
      </w:pPr>
      <w:r>
        <w:rPr>
          <w:rStyle w:val="FootnoteReference"/>
        </w:rPr>
        <w:footnoteRef/>
      </w:r>
      <w:r>
        <w:t xml:space="preserve"> </w:t>
      </w:r>
      <w:r w:rsidRPr="005360FE">
        <w:t xml:space="preserve">Texts adopted, </w:t>
      </w:r>
      <w:hyperlink r:id="rId6" w:history="1">
        <w:r w:rsidRPr="005360FE">
          <w:rPr>
            <w:rStyle w:val="Hyperlink"/>
          </w:rPr>
          <w:t>P8_TA(2016)0108</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6087" w14:textId="77777777" w:rsidR="001011A3" w:rsidRDefault="00101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8F0C" w14:textId="77777777" w:rsidR="001011A3" w:rsidRDefault="00101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E9BF" w14:textId="77777777" w:rsidR="001011A3" w:rsidRDefault="00101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QOMNU" w:val=" 1"/>
    <w:docVar w:name="strDocTypeID" w:val="RE_QO"/>
    <w:docVar w:name="strSubDir" w:val="1104"/>
    <w:docVar w:name="TXTLANGUE" w:val="EN"/>
    <w:docVar w:name="TXTLANGUEMIN" w:val="en"/>
    <w:docVar w:name="TXTNRB" w:val="0000/2016"/>
    <w:docVar w:name="TXTNRPE" w:val="589.282"/>
    <w:docVar w:name="TXTNRRSP" w:val="2016/2898"/>
    <w:docVar w:name="TXTPEorAP" w:val="PE"/>
    <w:docVar w:name="TXTQ1NRB" w:val="0000/2016"/>
    <w:docVar w:name="TXTROUTE" w:val="RE\1104805EN.docx"/>
    <w:docVar w:name="TXTTITLE" w:val="International Financial Reporting Standards : IFRS 9"/>
    <w:docVar w:name="TXTVERSION" w:val="02-00"/>
  </w:docVars>
  <w:rsids>
    <w:rsidRoot w:val="00AE6EA3"/>
    <w:rsid w:val="0000247B"/>
    <w:rsid w:val="00014101"/>
    <w:rsid w:val="000173BC"/>
    <w:rsid w:val="000566E3"/>
    <w:rsid w:val="000660CA"/>
    <w:rsid w:val="00081FB2"/>
    <w:rsid w:val="00095A09"/>
    <w:rsid w:val="000960DA"/>
    <w:rsid w:val="000F2499"/>
    <w:rsid w:val="001011A3"/>
    <w:rsid w:val="001A3184"/>
    <w:rsid w:val="001A49D5"/>
    <w:rsid w:val="001B06D6"/>
    <w:rsid w:val="001B4F00"/>
    <w:rsid w:val="001B6C56"/>
    <w:rsid w:val="002219A4"/>
    <w:rsid w:val="002860E5"/>
    <w:rsid w:val="002C0ACF"/>
    <w:rsid w:val="002D05CB"/>
    <w:rsid w:val="003C0776"/>
    <w:rsid w:val="0043254C"/>
    <w:rsid w:val="00450DDD"/>
    <w:rsid w:val="00485B62"/>
    <w:rsid w:val="004C232D"/>
    <w:rsid w:val="004D339E"/>
    <w:rsid w:val="00505136"/>
    <w:rsid w:val="00507541"/>
    <w:rsid w:val="005360FE"/>
    <w:rsid w:val="005458CB"/>
    <w:rsid w:val="00554283"/>
    <w:rsid w:val="00565B0B"/>
    <w:rsid w:val="005759BA"/>
    <w:rsid w:val="00580595"/>
    <w:rsid w:val="00593C6A"/>
    <w:rsid w:val="005D4BC7"/>
    <w:rsid w:val="00604AB3"/>
    <w:rsid w:val="0061349A"/>
    <w:rsid w:val="00643C0C"/>
    <w:rsid w:val="00656796"/>
    <w:rsid w:val="006940DA"/>
    <w:rsid w:val="006C5CB5"/>
    <w:rsid w:val="006E5BAA"/>
    <w:rsid w:val="006E6768"/>
    <w:rsid w:val="00731706"/>
    <w:rsid w:val="00761465"/>
    <w:rsid w:val="00791A21"/>
    <w:rsid w:val="00791D05"/>
    <w:rsid w:val="007C013C"/>
    <w:rsid w:val="007D2C4F"/>
    <w:rsid w:val="007E0BCD"/>
    <w:rsid w:val="007F3225"/>
    <w:rsid w:val="00810E12"/>
    <w:rsid w:val="00817C7C"/>
    <w:rsid w:val="00823E59"/>
    <w:rsid w:val="00826218"/>
    <w:rsid w:val="00844D93"/>
    <w:rsid w:val="008811CB"/>
    <w:rsid w:val="0089074B"/>
    <w:rsid w:val="008A1B6B"/>
    <w:rsid w:val="008B6193"/>
    <w:rsid w:val="008F3277"/>
    <w:rsid w:val="009105E3"/>
    <w:rsid w:val="00910E80"/>
    <w:rsid w:val="00943AA6"/>
    <w:rsid w:val="00947C5E"/>
    <w:rsid w:val="009857DF"/>
    <w:rsid w:val="0099707A"/>
    <w:rsid w:val="009C3519"/>
    <w:rsid w:val="009F7749"/>
    <w:rsid w:val="00A074C4"/>
    <w:rsid w:val="00A25109"/>
    <w:rsid w:val="00A3444F"/>
    <w:rsid w:val="00A40163"/>
    <w:rsid w:val="00A474FF"/>
    <w:rsid w:val="00A51317"/>
    <w:rsid w:val="00A67B7E"/>
    <w:rsid w:val="00AA4366"/>
    <w:rsid w:val="00AC07EC"/>
    <w:rsid w:val="00AC5C5B"/>
    <w:rsid w:val="00AD6E03"/>
    <w:rsid w:val="00AE6EA3"/>
    <w:rsid w:val="00B13E6F"/>
    <w:rsid w:val="00B34B59"/>
    <w:rsid w:val="00B5371C"/>
    <w:rsid w:val="00B57F74"/>
    <w:rsid w:val="00BA7C7D"/>
    <w:rsid w:val="00BC27BC"/>
    <w:rsid w:val="00BE5C95"/>
    <w:rsid w:val="00C11C70"/>
    <w:rsid w:val="00C20AD7"/>
    <w:rsid w:val="00C37ACF"/>
    <w:rsid w:val="00C403E1"/>
    <w:rsid w:val="00C5226D"/>
    <w:rsid w:val="00C569C2"/>
    <w:rsid w:val="00C57745"/>
    <w:rsid w:val="00C868A4"/>
    <w:rsid w:val="00CA4A32"/>
    <w:rsid w:val="00CB63DD"/>
    <w:rsid w:val="00CF6004"/>
    <w:rsid w:val="00D0148F"/>
    <w:rsid w:val="00D05646"/>
    <w:rsid w:val="00D119AC"/>
    <w:rsid w:val="00D3279B"/>
    <w:rsid w:val="00D54D35"/>
    <w:rsid w:val="00D76530"/>
    <w:rsid w:val="00D954CF"/>
    <w:rsid w:val="00DA742E"/>
    <w:rsid w:val="00DE744E"/>
    <w:rsid w:val="00DE756D"/>
    <w:rsid w:val="00DF5ACB"/>
    <w:rsid w:val="00E054D5"/>
    <w:rsid w:val="00E3179C"/>
    <w:rsid w:val="00E32941"/>
    <w:rsid w:val="00E331FD"/>
    <w:rsid w:val="00EB24A9"/>
    <w:rsid w:val="00EC15FB"/>
    <w:rsid w:val="00EE318F"/>
    <w:rsid w:val="00EE52E5"/>
    <w:rsid w:val="00F136C6"/>
    <w:rsid w:val="00F231D5"/>
    <w:rsid w:val="00F236C8"/>
    <w:rsid w:val="00F62B4E"/>
    <w:rsid w:val="00F75B40"/>
    <w:rsid w:val="00FA36EE"/>
    <w:rsid w:val="00FA73AD"/>
    <w:rsid w:val="00FD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B7F6C"/>
  <w15:chartTrackingRefBased/>
  <w15:docId w15:val="{ECC98687-7946-4F77-83E0-591ACC25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507541"/>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Normal24Bold">
    <w:name w:val="Normal24Bold"/>
    <w:basedOn w:val="Normal"/>
    <w:rsid w:val="00450DDD"/>
    <w:pPr>
      <w:spacing w:after="480"/>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BE5C95"/>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paragraph" w:customStyle="1" w:styleId="CoverBold">
    <w:name w:val="CoverBold"/>
    <w:basedOn w:val="CoverNormal"/>
    <w:rsid w:val="00507541"/>
    <w:rPr>
      <w:b/>
    </w:rPr>
  </w:style>
  <w:style w:type="paragraph" w:customStyle="1" w:styleId="EPName">
    <w:name w:val="EPName"/>
    <w:basedOn w:val="Normal"/>
    <w:rsid w:val="00E054D5"/>
    <w:pPr>
      <w:spacing w:before="80" w:after="80"/>
    </w:pPr>
    <w:rPr>
      <w:rFonts w:ascii="Arial Narrow" w:hAnsi="Arial Narrow" w:cs="Arial"/>
      <w:b/>
      <w:color w:val="000000"/>
      <w:sz w:val="32"/>
      <w:szCs w:val="22"/>
      <w:lang w:val="fr-FR"/>
    </w:rPr>
  </w:style>
  <w:style w:type="table" w:styleId="TableGrid">
    <w:name w:val="Table Grid"/>
    <w:basedOn w:val="TableNormal"/>
    <w:rsid w:val="00890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89074B"/>
    <w:pPr>
      <w:jc w:val="center"/>
    </w:pPr>
    <w:rPr>
      <w:rFonts w:ascii="Arial" w:hAnsi="Arial" w:cs="Arial"/>
      <w:i/>
      <w:sz w:val="22"/>
      <w:szCs w:val="22"/>
    </w:rPr>
  </w:style>
  <w:style w:type="paragraph" w:customStyle="1" w:styleId="LineTop">
    <w:name w:val="LineTop"/>
    <w:basedOn w:val="Normal"/>
    <w:next w:val="ZSessionDoc"/>
    <w:rsid w:val="0089074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2C0ACF"/>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054D5"/>
    <w:pPr>
      <w:spacing w:after="80"/>
    </w:pPr>
    <w:rPr>
      <w:rFonts w:ascii="Arial" w:hAnsi="Arial" w:cs="Arial"/>
      <w:sz w:val="20"/>
      <w:szCs w:val="22"/>
      <w:lang w:val="fr-FR"/>
    </w:rPr>
  </w:style>
  <w:style w:type="paragraph" w:customStyle="1" w:styleId="EPLogo">
    <w:name w:val="EPLogo"/>
    <w:basedOn w:val="Normal"/>
    <w:qFormat/>
    <w:rsid w:val="00E054D5"/>
    <w:pPr>
      <w:jc w:val="right"/>
    </w:pPr>
  </w:style>
  <w:style w:type="paragraph" w:customStyle="1" w:styleId="RefProc">
    <w:name w:val="RefProc"/>
    <w:basedOn w:val="Normal"/>
    <w:rsid w:val="002C0ACF"/>
    <w:pPr>
      <w:spacing w:before="240" w:after="240"/>
      <w:jc w:val="right"/>
    </w:pPr>
    <w:rPr>
      <w:rFonts w:ascii="Arial" w:hAnsi="Arial"/>
      <w:b/>
    </w:rPr>
  </w:style>
  <w:style w:type="paragraph" w:customStyle="1" w:styleId="ZDate">
    <w:name w:val="ZDate"/>
    <w:basedOn w:val="Normal"/>
    <w:rsid w:val="002C0ACF"/>
    <w:pPr>
      <w:spacing w:after="1200"/>
    </w:pPr>
  </w:style>
  <w:style w:type="character" w:styleId="Hyperlink">
    <w:name w:val="Hyperlink"/>
    <w:unhideWhenUsed/>
    <w:rsid w:val="008B6193"/>
    <w:rPr>
      <w:color w:val="0563C1"/>
      <w:u w:val="single"/>
    </w:rPr>
  </w:style>
  <w:style w:type="paragraph" w:styleId="FootnoteText">
    <w:name w:val="footnote text"/>
    <w:basedOn w:val="Normal"/>
    <w:link w:val="FootnoteTextChar"/>
    <w:unhideWhenUsed/>
    <w:rsid w:val="008B6193"/>
    <w:rPr>
      <w:sz w:val="20"/>
    </w:rPr>
  </w:style>
  <w:style w:type="character" w:customStyle="1" w:styleId="FootnoteTextChar">
    <w:name w:val="Footnote Text Char"/>
    <w:basedOn w:val="DefaultParagraphFont"/>
    <w:link w:val="FootnoteText"/>
    <w:rsid w:val="008B6193"/>
  </w:style>
  <w:style w:type="character" w:styleId="FootnoteReference">
    <w:name w:val="footnote reference"/>
    <w:unhideWhenUsed/>
    <w:rsid w:val="008B6193"/>
    <w:rPr>
      <w:vertAlign w:val="superscript"/>
    </w:rPr>
  </w:style>
  <w:style w:type="paragraph" w:styleId="CommentText">
    <w:name w:val="annotation text"/>
    <w:basedOn w:val="Normal"/>
    <w:link w:val="CommentTextChar"/>
    <w:unhideWhenUsed/>
    <w:rsid w:val="00AC07EC"/>
    <w:rPr>
      <w:sz w:val="20"/>
    </w:rPr>
  </w:style>
  <w:style w:type="character" w:customStyle="1" w:styleId="CommentTextChar">
    <w:name w:val="Comment Text Char"/>
    <w:basedOn w:val="DefaultParagraphFont"/>
    <w:link w:val="CommentText"/>
    <w:rsid w:val="00AC07EC"/>
  </w:style>
  <w:style w:type="character" w:styleId="CommentReference">
    <w:name w:val="annotation reference"/>
    <w:unhideWhenUsed/>
    <w:rsid w:val="00AC07EC"/>
    <w:rPr>
      <w:sz w:val="16"/>
      <w:szCs w:val="16"/>
    </w:rPr>
  </w:style>
  <w:style w:type="character" w:styleId="FollowedHyperlink">
    <w:name w:val="FollowedHyperlink"/>
    <w:basedOn w:val="DefaultParagraphFont"/>
    <w:rsid w:val="00095A09"/>
    <w:rPr>
      <w:color w:val="954F72" w:themeColor="followedHyperlink"/>
      <w:u w:val="single"/>
    </w:rPr>
  </w:style>
  <w:style w:type="paragraph" w:styleId="CommentSubject">
    <w:name w:val="annotation subject"/>
    <w:basedOn w:val="CommentText"/>
    <w:next w:val="CommentText"/>
    <w:link w:val="CommentSubjectChar"/>
    <w:rsid w:val="00D0148F"/>
    <w:rPr>
      <w:b/>
      <w:bCs/>
    </w:rPr>
  </w:style>
  <w:style w:type="character" w:customStyle="1" w:styleId="CommentSubjectChar">
    <w:name w:val="Comment Subject Char"/>
    <w:basedOn w:val="CommentTextChar"/>
    <w:link w:val="CommentSubject"/>
    <w:rsid w:val="00D0148F"/>
    <w:rPr>
      <w:b/>
      <w:bCs/>
    </w:rPr>
  </w:style>
  <w:style w:type="paragraph" w:styleId="BalloonText">
    <w:name w:val="Balloon Text"/>
    <w:basedOn w:val="Normal"/>
    <w:link w:val="BalloonTextChar"/>
    <w:rsid w:val="00D0148F"/>
    <w:rPr>
      <w:rFonts w:ascii="Segoe UI" w:hAnsi="Segoe UI" w:cs="Segoe UI"/>
      <w:sz w:val="18"/>
      <w:szCs w:val="18"/>
    </w:rPr>
  </w:style>
  <w:style w:type="character" w:customStyle="1" w:styleId="BalloonTextChar">
    <w:name w:val="Balloon Text Char"/>
    <w:basedOn w:val="DefaultParagraphFont"/>
    <w:link w:val="BalloonText"/>
    <w:rsid w:val="00D0148F"/>
    <w:rPr>
      <w:rFonts w:ascii="Segoe UI" w:hAnsi="Segoe UI" w:cs="Segoe UI"/>
      <w:sz w:val="18"/>
      <w:szCs w:val="18"/>
    </w:rPr>
  </w:style>
  <w:style w:type="paragraph" w:styleId="NormalWeb">
    <w:name w:val="Normal (Web)"/>
    <w:basedOn w:val="Normal"/>
    <w:uiPriority w:val="99"/>
    <w:unhideWhenUsed/>
    <w:rsid w:val="00817C7C"/>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4556">
      <w:bodyDiv w:val="1"/>
      <w:marLeft w:val="0"/>
      <w:marRight w:val="0"/>
      <w:marTop w:val="0"/>
      <w:marBottom w:val="0"/>
      <w:divBdr>
        <w:top w:val="none" w:sz="0" w:space="0" w:color="auto"/>
        <w:left w:val="none" w:sz="0" w:space="0" w:color="auto"/>
        <w:bottom w:val="none" w:sz="0" w:space="0" w:color="auto"/>
        <w:right w:val="none" w:sz="0" w:space="0" w:color="auto"/>
      </w:divBdr>
    </w:div>
    <w:div w:id="1398824116">
      <w:bodyDiv w:val="1"/>
      <w:marLeft w:val="0"/>
      <w:marRight w:val="0"/>
      <w:marTop w:val="0"/>
      <w:marBottom w:val="0"/>
      <w:divBdr>
        <w:top w:val="none" w:sz="0" w:space="0" w:color="auto"/>
        <w:left w:val="none" w:sz="0" w:space="0" w:color="auto"/>
        <w:bottom w:val="none" w:sz="0" w:space="0" w:color="auto"/>
        <w:right w:val="none" w:sz="0" w:space="0" w:color="auto"/>
      </w:divBdr>
    </w:div>
    <w:div w:id="1538664367">
      <w:bodyDiv w:val="1"/>
      <w:marLeft w:val="0"/>
      <w:marRight w:val="0"/>
      <w:marTop w:val="0"/>
      <w:marBottom w:val="0"/>
      <w:divBdr>
        <w:top w:val="none" w:sz="0" w:space="0" w:color="auto"/>
        <w:left w:val="none" w:sz="0" w:space="0" w:color="auto"/>
        <w:bottom w:val="none" w:sz="0" w:space="0" w:color="auto"/>
        <w:right w:val="none" w:sz="0" w:space="0" w:color="auto"/>
      </w:divBdr>
    </w:div>
    <w:div w:id="207303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consilium.europa.eu/en/press/press-releases/2016/07/12-conclusions-banking-reform/" TargetMode="External"/><Relationship Id="rId2" Type="http://schemas.openxmlformats.org/officeDocument/2006/relationships/hyperlink" Target="https://www.bis.org/bcbs/publ/d387.htm" TargetMode="External"/><Relationship Id="rId1" Type="http://schemas.openxmlformats.org/officeDocument/2006/relationships/hyperlink" Target="http://www.bis.org/bcbs/publ/d344.pdf" TargetMode="External"/><Relationship Id="rId6" Type="http://schemas.openxmlformats.org/officeDocument/2006/relationships/hyperlink" Target="http://www.europarl.europa.eu/sides/getDoc.do?pubRef=-//EP//TEXT+TA+P8-TA-2016-0108+0+DOC+XML+V0//EN" TargetMode="External"/><Relationship Id="rId5" Type="http://schemas.openxmlformats.org/officeDocument/2006/relationships/hyperlink" Target="http://www.europarl.europa.eu/sides/getDoc.do?type=TA&amp;reference=P8-TA-2016-0006&amp;language=EN" TargetMode="External"/><Relationship Id="rId4" Type="http://schemas.openxmlformats.org/officeDocument/2006/relationships/hyperlink" Target="http://www.europarl.europa.eu/sides/getDoc.do?pubRef=-//EP//TEXT+TA+P8-TA-2016-0093+0+DOC+XML+V0//EN&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3559-7890-4C1D-9E82-56A39C5D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D913E56F</Template>
  <TotalTime>0</TotalTime>
  <Pages>4</Pages>
  <Words>1008</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RE_QO</vt:lpstr>
      <vt:lpstr>RE_QO</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RE_QO</dc:title>
  <dc:subject/>
  <dc:creator>DAHLI Silke</dc:creator>
  <cp:keywords/>
  <dc:description/>
  <cp:lastModifiedBy>MAIER Rudolf</cp:lastModifiedBy>
  <cp:revision>2</cp:revision>
  <cp:lastPrinted>2016-09-26T08:36:00Z</cp:lastPrinted>
  <dcterms:created xsi:type="dcterms:W3CDTF">2016-10-24T10:29:00Z</dcterms:created>
  <dcterms:modified xsi:type="dcterms:W3CDTF">2016-10-24T10:29:00Z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8.8.2 Build [20160901]</vt:lpwstr>
  </property>
  <property fmtid="{D5CDD505-2E9C-101B-9397-08002B2CF9AE}" pid="4" name="LastEdited with">
    <vt:lpwstr>8.8.2 Build [20160901]</vt:lpwstr>
  </property>
  <property fmtid="{D5CDD505-2E9C-101B-9397-08002B2CF9AE}" pid="5" name="&lt;FdR&gt;">
    <vt:lpwstr>1104805</vt:lpwstr>
  </property>
  <property fmtid="{D5CDD505-2E9C-101B-9397-08002B2CF9AE}" pid="6" name="&lt;Type&gt;">
    <vt:lpwstr>RE</vt:lpwstr>
  </property>
  <property fmtid="{D5CDD505-2E9C-101B-9397-08002B2CF9AE}" pid="7" name="&lt;ModelCod&gt;">
    <vt:lpwstr>\\eiciBRUpr1\pdocep$\DocEP\DOCS\General\RE\RE_QO.dot(17/02/2016 11:46:03)</vt:lpwstr>
  </property>
  <property fmtid="{D5CDD505-2E9C-101B-9397-08002B2CF9AE}" pid="8" name="&lt;ModelTra&gt;">
    <vt:lpwstr>\\eiciBRUpr1\pdocep$\DocEP\TRANSFIL\EN\RE_QO.EN(21/09/2015 07:36:40)</vt:lpwstr>
  </property>
  <property fmtid="{D5CDD505-2E9C-101B-9397-08002B2CF9AE}" pid="9" name="&lt;Model&gt;">
    <vt:lpwstr>RE_QO</vt:lpwstr>
  </property>
  <property fmtid="{D5CDD505-2E9C-101B-9397-08002B2CF9AE}" pid="10" name="FooterPath">
    <vt:lpwstr>RE\1104805EN.docx</vt:lpwstr>
  </property>
  <property fmtid="{D5CDD505-2E9C-101B-9397-08002B2CF9AE}" pid="11" name="PE Number">
    <vt:lpwstr>589.282</vt:lpwstr>
  </property>
  <property fmtid="{D5CDD505-2E9C-101B-9397-08002B2CF9AE}" pid="12" name="SubscribeElise">
    <vt:lpwstr/>
  </property>
</Properties>
</file>